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publicación del Plan Estratégico para la Igualdad entre mujeres y hombres de Navarra publicada en el Boletín Oficial del Parlamento de Navarra número 87 de 20 de julio de 2022, se procede a efectuar la oportuna rectificación: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propuesta quinta, 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4.5.3.</w:t>
      </w:r>
      <w:r>
        <w:rPr>
          <w:rStyle w:val="1"/>
        </w:rPr>
        <w:t xml:space="preserve"> Creación y puesta en marcha de las herramientas necesarias para que la titular de la dirección gerencia del Instituto Navarro de igualdad (INAI) y la consejera o consejero puedan imponer las sanciones por infracciones que correspondan”.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4.5.2.</w:t>
      </w:r>
      <w:r>
        <w:rPr>
          <w:rStyle w:val="1"/>
        </w:rPr>
        <w:t xml:space="preserve"> Creación y puesta en marcha de las herramientas necesarias para que la titular de la dirección gerencia del Instituto Navarro de igualdad (INAI) y la consejera o consejero puedan imponer las sanciones por infracciones que correspondan”.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