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C336C" w14:textId="748649C9" w:rsidR="00C27730" w:rsidRDefault="008019D7">
      <w:pPr>
        <w:ind w:left="-5" w:right="265"/>
      </w:pPr>
      <w:r>
        <w:t xml:space="preserve">Podemos-Ahal Dugu talde parlamentarioari atxikitako foru parlamentari Ainhoa </w:t>
      </w:r>
      <w:proofErr w:type="spellStart"/>
      <w:r>
        <w:t>Aznárez</w:t>
      </w:r>
      <w:proofErr w:type="spellEnd"/>
      <w:r>
        <w:t xml:space="preserve"> </w:t>
      </w:r>
      <w:proofErr w:type="spellStart"/>
      <w:r>
        <w:t>Igarza</w:t>
      </w:r>
      <w:proofErr w:type="spellEnd"/>
      <w:r>
        <w:t xml:space="preserve"> andreak idatziz erantzuteko galdera egin du Klima Aldaketaren Nafar Herritar-batzarrari buruz (10-22-PES-00188). Hona hemen Landa Garapeneko eta Ingurumeneko kontseilariaren erantzuna: </w:t>
      </w:r>
    </w:p>
    <w:p w14:paraId="0D9D86A3" w14:textId="3F4B36F6" w:rsidR="00C27730" w:rsidRDefault="008019D7">
      <w:pPr>
        <w:ind w:left="-5" w:right="265"/>
      </w:pPr>
      <w:r>
        <w:t xml:space="preserve">Podemos-Ahal Dugu talde parlamentarioak Klima-aldaketari eta energia-trantsizioari buruzko martxoaren 22ko 4/2022 Foru Legearen 15.3 artikuluan xedatutakoarekin lotutako hainbat gairi buruzko galdera egin du. Hain zuzen ere, artikulu horrek ezartzen du kontseilariaren foru agindu bidez onetsiko dela Klima-aldaketaren Nafar Herritar-batzarraren osaera, antolaketa eta funtzionamendua. </w:t>
      </w:r>
    </w:p>
    <w:p w14:paraId="13140C26" w14:textId="77777777" w:rsidR="008019D7" w:rsidRDefault="008019D7">
      <w:pPr>
        <w:spacing w:after="223" w:line="259" w:lineRule="auto"/>
        <w:ind w:left="-5" w:right="265"/>
      </w:pPr>
      <w:r>
        <w:t xml:space="preserve">Hona eginiko galderen erantzunak: </w:t>
      </w:r>
    </w:p>
    <w:p w14:paraId="36E96A80" w14:textId="7E541C88" w:rsidR="00C27730" w:rsidRDefault="008019D7" w:rsidP="008019D7">
      <w:pPr>
        <w:ind w:right="265" w:firstLine="0"/>
      </w:pPr>
      <w:r>
        <w:t xml:space="preserve">1. Kontuan hartuz larrialdi klimatikoa eta Klima-aldaketari buruzko Adituen </w:t>
      </w:r>
      <w:proofErr w:type="spellStart"/>
      <w:r>
        <w:t>Gobernuarteko</w:t>
      </w:r>
      <w:proofErr w:type="spellEnd"/>
      <w:r>
        <w:t xml:space="preserve"> Taldearen azken txostenak, noizko aurreikusten da aipatu foru aginduaren onespena? </w:t>
      </w:r>
    </w:p>
    <w:p w14:paraId="33A772AA" w14:textId="77777777" w:rsidR="00C27730" w:rsidRDefault="008019D7">
      <w:pPr>
        <w:ind w:left="-5" w:right="265"/>
      </w:pPr>
      <w:r>
        <w:t xml:space="preserve">Erantzuna: Erregelamendu bidezko beste garapen batzuetarako ez bezala, 4/2022 Foru Legeak ez du eperik ezartzen Klima-aldaketaren Nafar Herritar-batzarraren osaera, antolaketa eta funtzionamendua arautuko dituen foru agindua onesteko. Hala ere, 2022ko bigarren seihilekoan landuko da etorkizunean izanen duen arauketa, zeinak kontuan hartuko baititu foru lege horren 15.3 artikuluan jasotako alderdiak. </w:t>
      </w:r>
    </w:p>
    <w:p w14:paraId="39E6A625" w14:textId="5E452FD2" w:rsidR="00C27730" w:rsidRDefault="008019D7" w:rsidP="008019D7">
      <w:pPr>
        <w:ind w:right="265" w:firstLine="0"/>
      </w:pPr>
      <w:r>
        <w:t xml:space="preserve">2. Zer mekanismo aurreikusten da batzarraren gomendioak gauzatzeko? </w:t>
      </w:r>
    </w:p>
    <w:p w14:paraId="66A5C11A" w14:textId="77777777" w:rsidR="008019D7" w:rsidRDefault="008019D7">
      <w:pPr>
        <w:ind w:left="-5" w:right="265"/>
      </w:pPr>
      <w:r>
        <w:t xml:space="preserve">Erantzuna: Oraindik ez daude definituta mekanismo horiek, baina asmoa da herritarrek parte hartzeko jada dauden mekanismoak indartzea. Mekanismo horiek arau hauetan daude jasota: </w:t>
      </w:r>
      <w:proofErr w:type="spellStart"/>
      <w:r>
        <w:t>Aarhusen</w:t>
      </w:r>
      <w:proofErr w:type="spellEnd"/>
      <w:r>
        <w:t xml:space="preserve"> (Danimarka) 1998ko ekainaren 25ean egin zen hitzarmena, ingurumenaren arloan informazioa eskuratzeari, herritarrek erabakiak hartzean parte hartzeari eta justizia eskura izateari buruzkoa; 27/2006 Legea, uztailaren 18koa, ingurumenaren arloan informazioa eskuratzeko, publikoak parte hartzeko eta justiziara heltzeko eskubideak arautzen dituena (2003/4/EE eta 2003/35/EE zuzentarauak txertatzen ditu), eta 12/2019 Foru Legea, martxoaren 22koa, Nafarroako Parte-hartze Demokratikoari buruzkoa. </w:t>
      </w:r>
    </w:p>
    <w:p w14:paraId="55B864E5" w14:textId="00631522" w:rsidR="00C27730" w:rsidRDefault="008019D7" w:rsidP="008019D7">
      <w:pPr>
        <w:tabs>
          <w:tab w:val="center" w:pos="4255"/>
          <w:tab w:val="center" w:pos="8503"/>
        </w:tabs>
        <w:spacing w:after="0" w:line="259" w:lineRule="auto"/>
        <w:ind w:left="0" w:right="0" w:firstLine="0"/>
        <w:jc w:val="left"/>
      </w:pPr>
      <w:r>
        <w:t xml:space="preserve">3. Zer mekanismo aurreikusi behar da bermatze aldera batzarraren prozesua herritar guztienganaino hedatzea, ohar daitezen erronkaren tamainaz eta behar ditugun eraldaketa sakonez? </w:t>
      </w:r>
    </w:p>
    <w:p w14:paraId="1E038CD2" w14:textId="77777777" w:rsidR="00C27730" w:rsidRDefault="008019D7">
      <w:pPr>
        <w:ind w:left="-5" w:right="265"/>
      </w:pPr>
      <w:r>
        <w:t xml:space="preserve">Erantzuna: Oraindik ez daude definituta mekanismo horiek, baina aurreikusita dago batzarrari buruzko informazioa herritarren eskura jartzea eta berariazko webgune batean argitaratzea, non batzarraren saioei, aurrerapenei eta emaitzei buruzko informazio guztia eguneratuko baita. </w:t>
      </w:r>
    </w:p>
    <w:p w14:paraId="093E0FC9" w14:textId="0D6B6916" w:rsidR="00C27730" w:rsidRDefault="008019D7" w:rsidP="008019D7">
      <w:pPr>
        <w:ind w:right="265" w:firstLine="0"/>
      </w:pPr>
      <w:r>
        <w:t xml:space="preserve">4. Zer mekanismo aurreikusiko da aurreikusitako zozketa egiteko, zeinak bermatuko duen batzarrean kide izan daitezkeen pertsona guztien parte hartzea? </w:t>
      </w:r>
    </w:p>
    <w:p w14:paraId="2CF04E0A" w14:textId="77777777" w:rsidR="00C27730" w:rsidRDefault="008019D7">
      <w:pPr>
        <w:ind w:left="-5" w:right="265"/>
      </w:pPr>
      <w:r>
        <w:t xml:space="preserve">Erantzuna: Oraindik ez dago definituta mekanismo hori, baina, pertsona horiek aukeratzeko, ausazkotasuna bermatuko duen eta aukeratutakoen kalitatea eta ordezkagarritasuna ziurtatzeko aukera emanen duen metodologia aplikatuko da. </w:t>
      </w:r>
    </w:p>
    <w:p w14:paraId="19EE9C11" w14:textId="756DD9D7" w:rsidR="00C27730" w:rsidRDefault="008019D7" w:rsidP="008019D7">
      <w:pPr>
        <w:ind w:right="265" w:firstLine="0"/>
      </w:pPr>
      <w:r>
        <w:t xml:space="preserve">5. Zer ezaugarri sozial (geruza) hartuko da kontuan lagina gizartearen ordezkaria izan dadin? </w:t>
      </w:r>
    </w:p>
    <w:p w14:paraId="71E6081F" w14:textId="77777777" w:rsidR="00C27730" w:rsidRDefault="008019D7">
      <w:pPr>
        <w:ind w:left="-5" w:right="265"/>
      </w:pPr>
      <w:r>
        <w:t xml:space="preserve">Erantzuna: Oraindik ez daude definituta ezaugarri horiek, baina, besteak beste, irizpide hauek hartuko dira kontuan: adina, generoa, hezkuntza-maila, errenta, jatorri geografikoa eta hiri- edo landa-ingurunean bizitzea. </w:t>
      </w:r>
    </w:p>
    <w:p w14:paraId="20D28633" w14:textId="14871FB2" w:rsidR="00C27730" w:rsidRDefault="008019D7" w:rsidP="008019D7">
      <w:pPr>
        <w:pStyle w:val="Prrafodelista"/>
        <w:numPr>
          <w:ilvl w:val="0"/>
          <w:numId w:val="2"/>
        </w:numPr>
        <w:ind w:right="265"/>
      </w:pPr>
      <w:r>
        <w:lastRenderedPageBreak/>
        <w:t xml:space="preserve">Zer irizpide erabiliko da aipatu aginduan aurreikusten den adituak hautatzeko? Eta koordinazio eta laguntza tekniko-logistikoko talderako? </w:t>
      </w:r>
    </w:p>
    <w:p w14:paraId="33B29BB8" w14:textId="77777777" w:rsidR="008019D7" w:rsidRDefault="008019D7">
      <w:pPr>
        <w:ind w:left="-5" w:right="265"/>
      </w:pPr>
      <w:r>
        <w:t xml:space="preserve">Erantzuna: Aditu independenteek ospe zabala izan beharko dute arlo hauetan: klima, energia, biodibertsitatea, ingurumena eta gizarte-eraldaketa. Eta koordinazio eta laguntza tekniko-logistikoko talderako, aurreikusita dago diziplina anitzeko talde bat osatzea, batzarra prestatzeko, martxan jartzeko eta laguntza logistikoa emateko lan teknikoak bidera ditzan.  </w:t>
      </w:r>
    </w:p>
    <w:p w14:paraId="104708BC" w14:textId="77777777" w:rsidR="008019D7" w:rsidRDefault="008019D7">
      <w:pPr>
        <w:spacing w:after="103" w:line="259" w:lineRule="auto"/>
        <w:jc w:val="center"/>
      </w:pPr>
      <w:r>
        <w:t xml:space="preserve">Iruñean, 2022ko abuztuaren 3an </w:t>
      </w:r>
    </w:p>
    <w:p w14:paraId="042EF480" w14:textId="7C41E2DB" w:rsidR="008019D7" w:rsidRDefault="008019D7" w:rsidP="008019D7">
      <w:pPr>
        <w:spacing w:after="103" w:line="259" w:lineRule="auto"/>
        <w:ind w:right="281"/>
        <w:jc w:val="center"/>
      </w:pPr>
      <w:r>
        <w:t>Landa Garapeneko eta Ingurumeneko kontseilaria: Itziar Gómez López</w:t>
      </w:r>
    </w:p>
    <w:sectPr w:rsidR="008019D7" w:rsidSect="008019D7">
      <w:pgSz w:w="11906" w:h="16838"/>
      <w:pgMar w:top="1560" w:right="852" w:bottom="291"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A085F"/>
    <w:multiLevelType w:val="hybridMultilevel"/>
    <w:tmpl w:val="5756D620"/>
    <w:lvl w:ilvl="0" w:tplc="A94A064E">
      <w:start w:val="6"/>
      <w:numFmt w:val="decimal"/>
      <w:lvlText w:val="%1."/>
      <w:lvlJc w:val="left"/>
      <w:pPr>
        <w:ind w:left="370" w:hanging="360"/>
      </w:pPr>
      <w:rPr>
        <w:rFonts w:hint="default"/>
      </w:rPr>
    </w:lvl>
    <w:lvl w:ilvl="1" w:tplc="0C0A0019" w:tentative="1">
      <w:start w:val="1"/>
      <w:numFmt w:val="lowerLetter"/>
      <w:lvlText w:val="%2."/>
      <w:lvlJc w:val="left"/>
      <w:pPr>
        <w:ind w:left="1090" w:hanging="360"/>
      </w:pPr>
    </w:lvl>
    <w:lvl w:ilvl="2" w:tplc="0C0A001B" w:tentative="1">
      <w:start w:val="1"/>
      <w:numFmt w:val="lowerRoman"/>
      <w:lvlText w:val="%3."/>
      <w:lvlJc w:val="right"/>
      <w:pPr>
        <w:ind w:left="1810" w:hanging="180"/>
      </w:pPr>
    </w:lvl>
    <w:lvl w:ilvl="3" w:tplc="0C0A000F" w:tentative="1">
      <w:start w:val="1"/>
      <w:numFmt w:val="decimal"/>
      <w:lvlText w:val="%4."/>
      <w:lvlJc w:val="left"/>
      <w:pPr>
        <w:ind w:left="2530" w:hanging="360"/>
      </w:pPr>
    </w:lvl>
    <w:lvl w:ilvl="4" w:tplc="0C0A0019" w:tentative="1">
      <w:start w:val="1"/>
      <w:numFmt w:val="lowerLetter"/>
      <w:lvlText w:val="%5."/>
      <w:lvlJc w:val="left"/>
      <w:pPr>
        <w:ind w:left="3250" w:hanging="360"/>
      </w:pPr>
    </w:lvl>
    <w:lvl w:ilvl="5" w:tplc="0C0A001B" w:tentative="1">
      <w:start w:val="1"/>
      <w:numFmt w:val="lowerRoman"/>
      <w:lvlText w:val="%6."/>
      <w:lvlJc w:val="right"/>
      <w:pPr>
        <w:ind w:left="3970" w:hanging="180"/>
      </w:pPr>
    </w:lvl>
    <w:lvl w:ilvl="6" w:tplc="0C0A000F" w:tentative="1">
      <w:start w:val="1"/>
      <w:numFmt w:val="decimal"/>
      <w:lvlText w:val="%7."/>
      <w:lvlJc w:val="left"/>
      <w:pPr>
        <w:ind w:left="4690" w:hanging="360"/>
      </w:pPr>
    </w:lvl>
    <w:lvl w:ilvl="7" w:tplc="0C0A0019" w:tentative="1">
      <w:start w:val="1"/>
      <w:numFmt w:val="lowerLetter"/>
      <w:lvlText w:val="%8."/>
      <w:lvlJc w:val="left"/>
      <w:pPr>
        <w:ind w:left="5410" w:hanging="360"/>
      </w:pPr>
    </w:lvl>
    <w:lvl w:ilvl="8" w:tplc="0C0A001B" w:tentative="1">
      <w:start w:val="1"/>
      <w:numFmt w:val="lowerRoman"/>
      <w:lvlText w:val="%9."/>
      <w:lvlJc w:val="right"/>
      <w:pPr>
        <w:ind w:left="6130" w:hanging="180"/>
      </w:pPr>
    </w:lvl>
  </w:abstractNum>
  <w:abstractNum w:abstractNumId="1" w15:restartNumberingAfterBreak="0">
    <w:nsid w:val="3E1743B5"/>
    <w:multiLevelType w:val="hybridMultilevel"/>
    <w:tmpl w:val="6F441812"/>
    <w:lvl w:ilvl="0" w:tplc="E034C684">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6AF898">
      <w:start w:val="1"/>
      <w:numFmt w:val="lowerLetter"/>
      <w:lvlText w:val="%2"/>
      <w:lvlJc w:val="left"/>
      <w:pPr>
        <w:ind w:left="1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A054D8">
      <w:start w:val="1"/>
      <w:numFmt w:val="lowerRoman"/>
      <w:lvlText w:val="%3"/>
      <w:lvlJc w:val="left"/>
      <w:pPr>
        <w:ind w:left="26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CAB1A8">
      <w:start w:val="1"/>
      <w:numFmt w:val="decimal"/>
      <w:lvlText w:val="%4"/>
      <w:lvlJc w:val="left"/>
      <w:pPr>
        <w:ind w:left="33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A2F3D0">
      <w:start w:val="1"/>
      <w:numFmt w:val="lowerLetter"/>
      <w:lvlText w:val="%5"/>
      <w:lvlJc w:val="left"/>
      <w:pPr>
        <w:ind w:left="40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605D8C">
      <w:start w:val="1"/>
      <w:numFmt w:val="lowerRoman"/>
      <w:lvlText w:val="%6"/>
      <w:lvlJc w:val="left"/>
      <w:pPr>
        <w:ind w:left="47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7252E4">
      <w:start w:val="1"/>
      <w:numFmt w:val="decimal"/>
      <w:lvlText w:val="%7"/>
      <w:lvlJc w:val="left"/>
      <w:pPr>
        <w:ind w:left="5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BCB852">
      <w:start w:val="1"/>
      <w:numFmt w:val="lowerLetter"/>
      <w:lvlText w:val="%8"/>
      <w:lvlJc w:val="left"/>
      <w:pPr>
        <w:ind w:left="62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04B4EE">
      <w:start w:val="1"/>
      <w:numFmt w:val="lowerRoman"/>
      <w:lvlText w:val="%9"/>
      <w:lvlJc w:val="left"/>
      <w:pPr>
        <w:ind w:left="69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664019609">
    <w:abstractNumId w:val="1"/>
  </w:num>
  <w:num w:numId="2" w16cid:durableId="1692106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730"/>
    <w:rsid w:val="00125A73"/>
    <w:rsid w:val="0037605E"/>
    <w:rsid w:val="007C6F0E"/>
    <w:rsid w:val="008019D7"/>
    <w:rsid w:val="00C277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F70E9"/>
  <w15:docId w15:val="{EA9C24AE-FEEE-4FD5-8D69-0AAB6858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1" w:line="356" w:lineRule="auto"/>
      <w:ind w:left="10" w:right="280" w:hanging="10"/>
      <w:jc w:val="both"/>
    </w:pPr>
    <w:rPr>
      <w:rFonts w:ascii="Times New Roman" w:eastAsia="Times New Roman" w:hAnsi="Times New Roman" w:cs="Times New Roman"/>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1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583</Words>
  <Characters>3208</Characters>
  <Application>Microsoft Office Word</Application>
  <DocSecurity>0</DocSecurity>
  <Lines>26</Lines>
  <Paragraphs>7</Paragraphs>
  <ScaleCrop>false</ScaleCrop>
  <Company>Hewlett-Packard Company</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De Santiago, Iñaki</cp:lastModifiedBy>
  <cp:revision>5</cp:revision>
  <dcterms:created xsi:type="dcterms:W3CDTF">2022-08-08T07:38:00Z</dcterms:created>
  <dcterms:modified xsi:type="dcterms:W3CDTF">2022-10-07T07:59:00Z</dcterms:modified>
</cp:coreProperties>
</file>