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comprometerse públicamente a seguir financiando las partidas presupuestarias derivadas del convenio sectorial de acción e intervención social de Navarra, aprobada por el Pleno del Parlamento de Navarra en sesión celebrada el día 20 de octubre de 2022, cuyo texto se inserta a continuación:</w:t>
      </w:r>
    </w:p>
    <w:p>
      <w:pPr>
        <w:pStyle w:val="0"/>
        <w:suppressAutoHyphens w:val="false"/>
        <w:rPr>
          <w:rStyle w:val="1"/>
        </w:rPr>
      </w:pPr>
      <w:r>
        <w:rPr>
          <w:rStyle w:val="1"/>
        </w:rPr>
        <w:t xml:space="preserve">“1. El Parlamento de Navarra considera necesaria la regulación laboral, sin entrar en los hechos jurídicos discutidos, para este sector esencial, y para ello considera necesario que las plantillas tengan un convenio propio que aporte calidad y estabilidad a las relaciones laborales y servicios que se prestan a la ciudadanía en situación de riesgo o vulnerabilidad social.</w:t>
      </w:r>
    </w:p>
    <w:p>
      <w:pPr>
        <w:pStyle w:val="0"/>
        <w:suppressAutoHyphens w:val="false"/>
        <w:rPr>
          <w:rStyle w:val="1"/>
        </w:rPr>
      </w:pPr>
      <w:r>
        <w:rPr>
          <w:rStyle w:val="1"/>
        </w:rPr>
        <w:t xml:space="preserve">2. El Parlamento insta al Gobierno de Navarra a que se comprometa públicamente a seguir financiando las partidas presupuestarias derivadas del convenio, aun en el caso de que se dicte judicialmente la nulidad del mismo.</w:t>
      </w:r>
    </w:p>
    <w:p>
      <w:pPr>
        <w:pStyle w:val="0"/>
        <w:suppressAutoHyphens w:val="false"/>
        <w:rPr>
          <w:rStyle w:val="1"/>
        </w:rPr>
      </w:pPr>
      <w:r>
        <w:rPr>
          <w:rStyle w:val="1"/>
        </w:rPr>
        <w:t xml:space="preserve">3. El Parlamento de Navarra solicita al Gobierno de Navarra a que, en el caso de que este fuese declarado nulo, se comprometa a ser agente activo y a financiar, igual que ha hecho hasta ahora y en los mismos términos, la negociación de un nuevo convenio”.</w:t>
      </w:r>
    </w:p>
    <w:p>
      <w:pPr>
        <w:pStyle w:val="0"/>
        <w:suppressAutoHyphens w:val="false"/>
        <w:rPr>
          <w:rStyle w:val="1"/>
        </w:rPr>
      </w:pPr>
      <w:r>
        <w:rPr>
          <w:rStyle w:val="1"/>
        </w:rPr>
        <w:t xml:space="preserve">Pamplona, 21 de octubre de 2022</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