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remodelado, reformado o actualizado los centros y equipamientos residenciales para adecuarlos al nuevo modelo de atención residencial,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2019-2023, ¿se han remodelado, reformado o actualizado los centros y equipamientos residenciales para adecuarlos al nuevo modelo de atención residencial?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¿Qué cantidad económica se ha ejecutado para este concepto en los últimos cinco ejercicios y a qué actuaciones concretas?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