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handitu diren eskolaz kanpoko jardueretan lagun</w:t>
        <w:softHyphen/>
        <w:t xml:space="preserve">tzeko langileen ratioak desgaitasun baten ondorioz hezkun</w:t>
        <w:softHyphen/>
        <w:t xml:space="preserve">tza-premia bereziak dituzten ikasleen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handitu al dira eskolaz kanpoko jardueretan lagun</w:t>
        <w:softHyphen/>
        <w:t xml:space="preserve">tzeko langileen ratioak (eskola-jangela, jolastokia, eskolaz kanpokoak etab.) desgaitasun baten ondorioz hezkun</w:t>
        <w:softHyphen/>
        <w:t xml:space="preserve">tza-premia bereziak dituzten ikasleen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