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ikastetxeen barneko eta ikastetxeen arteko programarik ezarri den, desgaitasun baten ondorioz HPBak dituzten ikasleendako arretan espezializatutako profesionalen arteko ezagu</w:t>
        <w:softHyphen/>
        <w:t xml:space="preserve">tzaren berrikun</w:t>
        <w:softHyphen/>
        <w:t xml:space="preserve">tza eta transferen</w:t>
        <w:softHyphen/>
        <w:t xml:space="preserve">tziarako.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ezarri al da ikastetxeen barneko eta ikastetxeen arteko programarik, desgaitasun baten ondorioz HPBak dituzten ikasleendako arretan espezializatutako profesionalen arteko ezagu</w:t>
        <w:softHyphen/>
        <w:t xml:space="preserve">tzaren berrikun</w:t>
        <w:softHyphen/>
        <w:t xml:space="preserve">tza eta transferen</w:t>
        <w:softHyphen/>
        <w:t xml:space="preserve">tziarako?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ikastetxetan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