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HPBak dituzten ikasleendako lagun</w:t>
        <w:softHyphen/>
        <w:t xml:space="preserve">tza egoki</w:t>
        <w:softHyphen/>
        <w:t xml:space="preserve">tzeko eta hobe</w:t>
        <w:softHyphen/>
        <w:t xml:space="preserve">tzeko plan berezirik diseinatu den Bigarren Hezkun</w:t>
        <w:softHyphen/>
        <w:t xml:space="preserve">tzako institutu bakoi</w:t>
        <w:softHyphen/>
        <w:t xml:space="preserve">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diseinatu al da desgaitasun baten ondorioz HPBak dituzten ikasleendako lagun</w:t>
        <w:softHyphen/>
        <w:t xml:space="preserve">tza egoki</w:t>
        <w:softHyphen/>
        <w:t xml:space="preserve">tzeko eta hobe</w:t>
        <w:softHyphen/>
        <w:t xml:space="preserve">tzeko plan berezirik Bigarren Hezkun</w:t>
        <w:softHyphen/>
        <w:t xml:space="preserve">tzako institutu bakoi</w:t>
        <w:softHyphen/>
        <w:t xml:space="preserve">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Diseinatu badira, zer ikastetxetarako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