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</w:t>
        <w:softHyphen/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softHyphen/>
        <w:t xml:space="preserve">tzea Jorge Esparza Garrido jaunak aurkezturiko galdera, jakiteko ea, Nafarroako 2025 Desgaitasun Plana one</w:t>
        <w:softHyphen/>
        <w:t xml:space="preserve">tsi zenetik, lan-jardunaldirik egin den Bigarren Hezkun</w:t>
        <w:softHyphen/>
        <w:t xml:space="preserve">tzako hezkun</w:t>
        <w:softHyphen/>
        <w:t xml:space="preserve">tza-inklusiorako hedapen eta jardunbide egokien gainean, desgaitasunaren arloko entitateekin elkarlanean.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</w:t>
        <w:softHyphen/>
        <w:t xml:space="preserve">tzarraren Erregelamenduan ezarritakoaren babesean, galdera hauek aurkezten ditu, ida</w:t>
        <w:softHyphen/>
        <w:t xml:space="preserve">tziz eran</w:t>
        <w:softHyphen/>
        <w:t xml:space="preserve">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2025 Desgaitasun Plana one</w:t>
        <w:softHyphen/>
        <w:t xml:space="preserve">tsi zenetik, egin al da lan-jardunaldirik Bigarren Hezkun</w:t>
        <w:softHyphen/>
        <w:t xml:space="preserve">tzako hezkun</w:t>
        <w:softHyphen/>
        <w:t xml:space="preserve">tza-inklusiorako hedapen eta jardunbide egokien gainean, desgaitasunaren arloko entitateekin elkarlanean?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