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indartu diren Helduarora igaro</w:t>
        <w:softHyphen/>
        <w:t xml:space="preserve">tzeko programak, zeharkako ibilbide gisa hezkun</w:t>
        <w:softHyphen/>
        <w:t xml:space="preserve">tzako eta lanbide-heziketako zikloetan.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tzarraren Erregelamenduan ezarritakoaren babesean, galdera hauek aurkezten ditu, ida</w:t>
        <w:softHyphen/>
        <w:t xml:space="preserve">tziz eran</w:t>
        <w:softHyphen/>
        <w:t xml:space="preserve">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</w:t>
        <w:softHyphen/>
        <w:t xml:space="preserve">tsi zenetik, indartu al dira Helduarora igaro</w:t>
        <w:softHyphen/>
        <w:t xml:space="preserve">tzeko programak, zeharkako ibilbide gisa hezkun</w:t>
        <w:softHyphen/>
        <w:t xml:space="preserve">tzako eta lanbide-heziketako zikloetan?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