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acondicionado los espacios, centros, proyectos y servicios culturales a las necesidades de accesibilidad física, cognitiva y, de manera fundamental, de la comunicación,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acondicionado los espacios, centros, proyectos y servicios culturales a las necesidades de accesibilidad física, cognitiva y, de manera fundamental, de la comunicación (insonorización, acústica, bucles de inducción magnética, etc.)?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¿Cuáles, con qué presupuesto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