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ordenado la interfaz entre servicios sociales y servicios educativos, servicios sanitarios, servicios de empleo y servicios de vivienda, teniendo en cuenta la variable discapacidad,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ordenado la interfaz entre servicios sociales y servicios educativos, servicios sanitarios, servicios de empleo y servicios de vivienda, teniendo en cuenta la variable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han mejorado los itinerarios intersectoriales correspondientes?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