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erregelamendu bidez garatu diren kultura-, kirol- eta aisialdi-ekipamendu eta zerbitzuek bete beharreko gutxieneko betekizunak irisgarritasun fisikoaren, komunikatiboaren eta kognitiboaren arlo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erregelamendu bidez garatu al dira kultura-, kirol- eta aisialdi-ekipamendu eta zerbitzuek bete beharreko gutxieneko betekizunak irisgarritasun fisikoaren, komunikatiboaren eta kognitiboaren arlo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