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176F" w14:textId="77777777" w:rsidR="002C6528" w:rsidRPr="002C6528" w:rsidRDefault="007C7DC3" w:rsidP="00393E9E">
      <w:pPr>
        <w:spacing w:after="0" w:line="276" w:lineRule="auto"/>
        <w:ind w:left="959" w:right="410"/>
        <w:rPr>
          <w:rFonts w:ascii="Helvetica LT Std" w:hAnsi="Helvetica LT Std"/>
        </w:rPr>
      </w:pPr>
      <w:r w:rsidRPr="002C6528">
        <w:rPr>
          <w:rFonts w:ascii="Helvetica LT Std" w:hAnsi="Helvetica LT Std"/>
        </w:rPr>
        <w:t>Navarra Suma talde parlamentarioari atxikitako foru parlamentari Marta Álvarez Alonso andreak idatzizko galdera egin du (PES-00265); horren bidez, honako informazio hau eskatzen dio Nafarroako Gobernuari:</w:t>
      </w:r>
    </w:p>
    <w:p w14:paraId="280D55A1" w14:textId="2F9BD4E5" w:rsidR="00A71E9D" w:rsidRPr="002C6528" w:rsidRDefault="007C7DC3" w:rsidP="00393E9E">
      <w:pPr>
        <w:numPr>
          <w:ilvl w:val="0"/>
          <w:numId w:val="1"/>
        </w:numPr>
        <w:spacing w:after="355" w:line="276" w:lineRule="auto"/>
        <w:ind w:right="0"/>
        <w:jc w:val="left"/>
        <w:rPr>
          <w:rFonts w:ascii="Helvetica LT Std" w:hAnsi="Helvetica LT Std"/>
        </w:rPr>
      </w:pPr>
      <w:r w:rsidRPr="002C6528">
        <w:rPr>
          <w:rFonts w:ascii="Helvetica LT Std" w:hAnsi="Helvetica LT Std"/>
          <w:b/>
        </w:rPr>
        <w:t xml:space="preserve">Nafarroako Gobernuak emakumezkoen eta gizonezkoen arteko </w:t>
      </w:r>
      <w:proofErr w:type="spellStart"/>
      <w:r w:rsidRPr="002C6528">
        <w:rPr>
          <w:rFonts w:ascii="Helvetica LT Std" w:hAnsi="Helvetica LT Std"/>
          <w:b/>
        </w:rPr>
        <w:t>2021eko</w:t>
      </w:r>
      <w:proofErr w:type="spellEnd"/>
      <w:r w:rsidRPr="002C6528">
        <w:rPr>
          <w:rFonts w:ascii="Helvetica LT Std" w:hAnsi="Helvetica LT Std"/>
          <w:b/>
        </w:rPr>
        <w:t xml:space="preserve"> soldata-arrakalari buruzko txostenik egin al du? </w:t>
      </w:r>
    </w:p>
    <w:p w14:paraId="229AB69D" w14:textId="77777777" w:rsidR="00A71E9D" w:rsidRPr="002C6528" w:rsidRDefault="007C7DC3" w:rsidP="00393E9E">
      <w:pPr>
        <w:spacing w:after="355" w:line="276" w:lineRule="auto"/>
        <w:ind w:left="959" w:right="0"/>
        <w:jc w:val="left"/>
        <w:rPr>
          <w:rFonts w:ascii="Helvetica LT Std" w:hAnsi="Helvetica LT Std"/>
        </w:rPr>
      </w:pPr>
      <w:r w:rsidRPr="002C6528">
        <w:rPr>
          <w:rFonts w:ascii="Helvetica LT Std" w:hAnsi="Helvetica LT Std"/>
          <w:b/>
        </w:rPr>
        <w:t xml:space="preserve">Baiezkoan, txosten hori igortzea eskatzen da. </w:t>
      </w:r>
    </w:p>
    <w:p w14:paraId="245C768F" w14:textId="77777777" w:rsidR="00A71E9D" w:rsidRPr="002C6528" w:rsidRDefault="007C7DC3" w:rsidP="00393E9E">
      <w:pPr>
        <w:numPr>
          <w:ilvl w:val="0"/>
          <w:numId w:val="1"/>
        </w:numPr>
        <w:spacing w:after="536" w:line="276" w:lineRule="auto"/>
        <w:ind w:right="0"/>
        <w:jc w:val="left"/>
        <w:rPr>
          <w:rFonts w:ascii="Helvetica LT Std" w:hAnsi="Helvetica LT Std"/>
        </w:rPr>
      </w:pPr>
      <w:r w:rsidRPr="002C6528">
        <w:rPr>
          <w:rFonts w:ascii="Helvetica LT Std" w:hAnsi="Helvetica LT Std"/>
          <w:b/>
        </w:rPr>
        <w:t xml:space="preserve">Ezezkoan, </w:t>
      </w:r>
      <w:proofErr w:type="spellStart"/>
      <w:r w:rsidRPr="002C6528">
        <w:rPr>
          <w:rFonts w:ascii="Helvetica LT Std" w:hAnsi="Helvetica LT Std"/>
          <w:b/>
        </w:rPr>
        <w:t>2022an</w:t>
      </w:r>
      <w:proofErr w:type="spellEnd"/>
      <w:r w:rsidRPr="002C6528">
        <w:rPr>
          <w:rFonts w:ascii="Helvetica LT Std" w:hAnsi="Helvetica LT Std"/>
          <w:b/>
        </w:rPr>
        <w:t xml:space="preserve"> txostenik egiteko asmorik al du? </w:t>
      </w:r>
    </w:p>
    <w:p w14:paraId="0A3D1768" w14:textId="77777777" w:rsidR="00A71E9D" w:rsidRPr="002C6528" w:rsidRDefault="007C7DC3" w:rsidP="00393E9E">
      <w:pPr>
        <w:spacing w:after="512" w:line="276" w:lineRule="auto"/>
        <w:ind w:left="959" w:right="410"/>
        <w:rPr>
          <w:rFonts w:ascii="Helvetica LT Std" w:hAnsi="Helvetica LT Std"/>
        </w:rPr>
      </w:pPr>
      <w:r w:rsidRPr="002C6528">
        <w:rPr>
          <w:rFonts w:ascii="Helvetica LT Std" w:hAnsi="Helvetica LT Std"/>
        </w:rPr>
        <w:t>Emakumeen eta gizonen arteko soldata-arrakala esaten zaio bi sexuetako langileek kobratzen dituzten soldaten arteko aldeari.</w:t>
      </w:r>
    </w:p>
    <w:p w14:paraId="7C5A52BE" w14:textId="77777777" w:rsidR="002C6528" w:rsidRPr="002C6528" w:rsidRDefault="007C7DC3" w:rsidP="00393E9E">
      <w:pPr>
        <w:spacing w:line="276" w:lineRule="auto"/>
        <w:ind w:left="959" w:right="410"/>
        <w:rPr>
          <w:rFonts w:ascii="Helvetica LT Std" w:hAnsi="Helvetica LT Std"/>
        </w:rPr>
      </w:pPr>
      <w:r w:rsidRPr="002C6528">
        <w:rPr>
          <w:rFonts w:ascii="Helvetica LT Std" w:hAnsi="Helvetica LT Std"/>
        </w:rPr>
        <w:t>Emakumeen eta gizonen arteko soldata-arrakala kontu konplexua da eta hainbat alderdi ditu; besteak beste, lantokiko diskriminazioa, generoetako batek gehiengoa izatea enplegu edo sektore jakinetan, edo lan-bizitza eta familia bateragarri egiteko aukerak. Gainera, alderdi horiek elkarrekin loturik egon ohi dira.</w:t>
      </w:r>
    </w:p>
    <w:p w14:paraId="7326A19D" w14:textId="10E6ABD2" w:rsidR="00A71E9D" w:rsidRPr="002C6528" w:rsidRDefault="007C7DC3" w:rsidP="00393E9E">
      <w:pPr>
        <w:spacing w:line="276" w:lineRule="auto"/>
        <w:ind w:left="959" w:right="410"/>
        <w:rPr>
          <w:rFonts w:ascii="Helvetica LT Std" w:hAnsi="Helvetica LT Std"/>
        </w:rPr>
      </w:pPr>
      <w:r w:rsidRPr="002C6528">
        <w:rPr>
          <w:rFonts w:ascii="Helvetica LT Std" w:hAnsi="Helvetica LT Std"/>
        </w:rPr>
        <w:t xml:space="preserve"> Ziur aski, eta, zailtasun handiagoarekin, aurrekoei loturik, laneko igoera prozesuak dira enpresa eta sektoreetako soldata-arrakaletan eragin handiena dutenak, oraindik ere gizonezkoen aldekoak baitira (hainbat arrazoi tarteko).</w:t>
      </w:r>
    </w:p>
    <w:p w14:paraId="1E73023C" w14:textId="77777777" w:rsidR="002C6528" w:rsidRPr="002C6528" w:rsidRDefault="007C7DC3" w:rsidP="00393E9E">
      <w:pPr>
        <w:spacing w:line="276" w:lineRule="auto"/>
        <w:ind w:left="959" w:right="410"/>
        <w:rPr>
          <w:rFonts w:ascii="Helvetica LT Std" w:hAnsi="Helvetica LT Std"/>
        </w:rPr>
      </w:pPr>
      <w:r w:rsidRPr="002C6528">
        <w:rPr>
          <w:rFonts w:ascii="Helvetica LT Std" w:hAnsi="Helvetica LT Std"/>
        </w:rPr>
        <w:t>Horiei zeharkako ikuspegitik erreparatuz gero, pobreziaren aurkako borrokan aurrera egiteko neurrien diseinua erraztuko duten ezagutzak eta tresnak lor daitezke.</w:t>
      </w:r>
    </w:p>
    <w:p w14:paraId="24E49B30" w14:textId="3025351A" w:rsidR="00A71E9D" w:rsidRPr="002C6528" w:rsidRDefault="007C7DC3" w:rsidP="00393E9E">
      <w:pPr>
        <w:spacing w:after="512" w:line="276" w:lineRule="auto"/>
        <w:ind w:left="959" w:right="410"/>
        <w:rPr>
          <w:rFonts w:ascii="Helvetica LT Std" w:hAnsi="Helvetica LT Std"/>
        </w:rPr>
      </w:pPr>
      <w:r w:rsidRPr="002C6528">
        <w:rPr>
          <w:rFonts w:ascii="Helvetica LT Std" w:hAnsi="Helvetica LT Std"/>
        </w:rPr>
        <w:t xml:space="preserve"> Adibidez, aipatzekoak dira Nafarroako Gobernuak egindako txosten hauek:</w:t>
      </w:r>
    </w:p>
    <w:p w14:paraId="712255C7" w14:textId="0FA2F934" w:rsidR="00A71E9D" w:rsidRPr="002C6528" w:rsidRDefault="007C7DC3" w:rsidP="00393E9E">
      <w:pPr>
        <w:spacing w:after="512" w:line="276" w:lineRule="auto"/>
        <w:ind w:left="959" w:right="410"/>
        <w:rPr>
          <w:rFonts w:ascii="Helvetica LT Std" w:hAnsi="Helvetica LT Std"/>
        </w:rPr>
      </w:pPr>
      <w:r w:rsidRPr="002C6528">
        <w:rPr>
          <w:rFonts w:ascii="Helvetica LT Std" w:hAnsi="Helvetica LT Std"/>
        </w:rPr>
        <w:t>Nafarroako Berdintasunerako Institutua (NABI) Nafarroako Foru Komunitateko Administrazioan eta haren erakunde autonomoetan azterketa kuantitatiboa egiten ari da emakumeen eta gizonen arteko berdintasunari buruz, non aztergai baitira Administrazioko langileen artean dauden genero-arrakala nagusiak. Azterketa hori laster amaitzekoa da.</w:t>
      </w:r>
    </w:p>
    <w:p w14:paraId="4D41AF39" w14:textId="77777777" w:rsidR="00A71E9D" w:rsidRPr="002C6528" w:rsidRDefault="007C7DC3" w:rsidP="00393E9E">
      <w:pPr>
        <w:spacing w:after="0" w:line="276" w:lineRule="auto"/>
        <w:ind w:left="959" w:right="410"/>
        <w:rPr>
          <w:rFonts w:ascii="Helvetica LT Std" w:hAnsi="Helvetica LT Std"/>
        </w:rPr>
      </w:pPr>
      <w:r w:rsidRPr="002C6528">
        <w:rPr>
          <w:rFonts w:ascii="Helvetica LT Std" w:hAnsi="Helvetica LT Std"/>
        </w:rPr>
        <w:t>Funtzio Publikoko Zuzendaritza Nagusiak urtero informazioa prestatzen du Nafarroako Foru Komunitateko Administrazioaren eta haren erakunde autonomoen zerbitzuan ari diren pertsonen guztizko kopuruari buruz, mailaren, estamentu-taldearen, soldata-tartearen, sexuaren eta adin-tartearen arabera. Informazio hori Gobernu Irekiko webgunean argitaratzen da.</w:t>
      </w:r>
    </w:p>
    <w:p w14:paraId="6BEC0854" w14:textId="77777777" w:rsidR="00A71E9D" w:rsidRPr="002C6528" w:rsidRDefault="007C7DC3" w:rsidP="00393E9E">
      <w:pPr>
        <w:spacing w:after="264" w:line="276" w:lineRule="auto"/>
        <w:ind w:left="959" w:right="410"/>
        <w:rPr>
          <w:rFonts w:ascii="Helvetica LT Std" w:hAnsi="Helvetica LT Std"/>
        </w:rPr>
      </w:pPr>
      <w:r w:rsidRPr="002C6528">
        <w:rPr>
          <w:rFonts w:ascii="Helvetica LT Std" w:hAnsi="Helvetica LT Std"/>
        </w:rPr>
        <w:t xml:space="preserve"> Esteka honen bidez eskura dezakezu:</w:t>
      </w:r>
    </w:p>
    <w:p w14:paraId="59086A90" w14:textId="77777777" w:rsidR="00A71E9D" w:rsidRPr="002C6528" w:rsidRDefault="002C6528" w:rsidP="00393E9E">
      <w:pPr>
        <w:spacing w:after="0" w:line="276" w:lineRule="auto"/>
        <w:ind w:left="964" w:right="0" w:firstLine="0"/>
        <w:jc w:val="left"/>
        <w:rPr>
          <w:rFonts w:ascii="Helvetica LT Std" w:hAnsi="Helvetica LT Std"/>
        </w:rPr>
      </w:pPr>
      <w:hyperlink r:id="rId7">
        <w:r w:rsidR="007C7DC3" w:rsidRPr="002C6528">
          <w:rPr>
            <w:rFonts w:ascii="Helvetica LT Std" w:hAnsi="Helvetica LT Std"/>
            <w:color w:val="0000FF"/>
            <w:u w:val="single" w:color="0000FF"/>
          </w:rPr>
          <w:t>https://gobiernoabierto.navarra.es/eu/gardentasuna/langile-publikoen-</w:t>
        </w:r>
      </w:hyperlink>
      <w:hyperlink r:id="rId8">
        <w:r w:rsidR="007C7DC3" w:rsidRPr="002C6528">
          <w:rPr>
            <w:rFonts w:ascii="Helvetica LT Std" w:hAnsi="Helvetica LT Std"/>
            <w:color w:val="0000FF"/>
            <w:u w:val="single" w:color="0000FF"/>
          </w:rPr>
          <w:t>ordainsariak</w:t>
        </w:r>
      </w:hyperlink>
    </w:p>
    <w:p w14:paraId="32ECED75" w14:textId="32F11DC1" w:rsidR="00A71E9D" w:rsidRPr="002C6528" w:rsidRDefault="007C7DC3" w:rsidP="00393E9E">
      <w:pPr>
        <w:spacing w:after="512" w:line="276" w:lineRule="auto"/>
        <w:ind w:left="959" w:right="410"/>
        <w:rPr>
          <w:rFonts w:ascii="Helvetica LT Std" w:hAnsi="Helvetica LT Std"/>
        </w:rPr>
      </w:pPr>
      <w:r w:rsidRPr="002C6528">
        <w:rPr>
          <w:rFonts w:ascii="Helvetica LT Std" w:hAnsi="Helvetica LT Std"/>
        </w:rPr>
        <w:t xml:space="preserve">Halaber, Gizarte Errealitatearen Behatokiak lurraldeen arteko desberdintasunen azterketa egin zuen, Nafarroako eskualdeetan gizonen eta emakumeen artean dagoen </w:t>
      </w:r>
      <w:r w:rsidRPr="002C6528">
        <w:rPr>
          <w:rFonts w:ascii="Helvetica LT Std" w:hAnsi="Helvetica LT Std"/>
        </w:rPr>
        <w:lastRenderedPageBreak/>
        <w:t>soldata-arrakala barne. Hau da azterlanaren izenburua: "¿</w:t>
      </w:r>
      <w:proofErr w:type="spellStart"/>
      <w:r w:rsidRPr="002C6528">
        <w:rPr>
          <w:rFonts w:ascii="Helvetica LT Std" w:hAnsi="Helvetica LT Std"/>
        </w:rPr>
        <w:t>Existe</w:t>
      </w:r>
      <w:proofErr w:type="spellEnd"/>
      <w:r w:rsidRPr="002C6528">
        <w:rPr>
          <w:rFonts w:ascii="Helvetica LT Std" w:hAnsi="Helvetica LT Std"/>
        </w:rPr>
        <w:t xml:space="preserve"> una Navarra </w:t>
      </w:r>
      <w:proofErr w:type="spellStart"/>
      <w:r w:rsidRPr="002C6528">
        <w:rPr>
          <w:rFonts w:ascii="Helvetica LT Std" w:hAnsi="Helvetica LT Std"/>
        </w:rPr>
        <w:t>periférica</w:t>
      </w:r>
      <w:proofErr w:type="spellEnd"/>
      <w:r w:rsidRPr="002C6528">
        <w:rPr>
          <w:rFonts w:ascii="Helvetica LT Std" w:hAnsi="Helvetica LT Std"/>
        </w:rPr>
        <w:t xml:space="preserve">? </w:t>
      </w:r>
      <w:proofErr w:type="spellStart"/>
      <w:r w:rsidRPr="002C6528">
        <w:rPr>
          <w:rFonts w:ascii="Helvetica LT Std" w:hAnsi="Helvetica LT Std"/>
        </w:rPr>
        <w:t>Desequilibrios</w:t>
      </w:r>
      <w:proofErr w:type="spellEnd"/>
      <w:r w:rsidRPr="002C6528">
        <w:rPr>
          <w:rFonts w:ascii="Helvetica LT Std" w:hAnsi="Helvetica LT Std"/>
        </w:rPr>
        <w:t xml:space="preserve"> </w:t>
      </w:r>
      <w:proofErr w:type="spellStart"/>
      <w:r w:rsidRPr="002C6528">
        <w:rPr>
          <w:rFonts w:ascii="Helvetica LT Std" w:hAnsi="Helvetica LT Std"/>
        </w:rPr>
        <w:t>territoriales</w:t>
      </w:r>
      <w:proofErr w:type="spellEnd"/>
      <w:r w:rsidRPr="002C6528">
        <w:rPr>
          <w:rFonts w:ascii="Helvetica LT Std" w:hAnsi="Helvetica LT Std"/>
        </w:rPr>
        <w:t xml:space="preserve"> </w:t>
      </w:r>
      <w:proofErr w:type="spellStart"/>
      <w:r w:rsidRPr="002C6528">
        <w:rPr>
          <w:rFonts w:ascii="Helvetica LT Std" w:hAnsi="Helvetica LT Std"/>
        </w:rPr>
        <w:t>en</w:t>
      </w:r>
      <w:proofErr w:type="spellEnd"/>
      <w:r w:rsidRPr="002C6528">
        <w:rPr>
          <w:rFonts w:ascii="Helvetica LT Std" w:hAnsi="Helvetica LT Std"/>
        </w:rPr>
        <w:t xml:space="preserve"> Navarra." </w:t>
      </w:r>
    </w:p>
    <w:p w14:paraId="465E5E7F" w14:textId="77777777" w:rsidR="00A71E9D" w:rsidRPr="002C6528" w:rsidRDefault="007C7DC3" w:rsidP="00393E9E">
      <w:pPr>
        <w:spacing w:after="499" w:line="276" w:lineRule="auto"/>
        <w:ind w:left="959" w:right="410"/>
        <w:rPr>
          <w:rFonts w:ascii="Helvetica LT Std" w:hAnsi="Helvetica LT Std"/>
        </w:rPr>
      </w:pPr>
      <w:r w:rsidRPr="002C6528">
        <w:rPr>
          <w:rFonts w:ascii="Helvetica LT Std" w:hAnsi="Helvetica LT Std"/>
        </w:rPr>
        <w:t>Honako esteka honetan ikus daiteke:</w:t>
      </w:r>
    </w:p>
    <w:p w14:paraId="2D82146B" w14:textId="77777777" w:rsidR="00393E9E" w:rsidRPr="002C6528" w:rsidRDefault="002C6528" w:rsidP="00393E9E">
      <w:pPr>
        <w:spacing w:after="32" w:line="276" w:lineRule="auto"/>
        <w:ind w:left="957" w:right="0" w:hanging="8"/>
        <w:jc w:val="left"/>
        <w:rPr>
          <w:rFonts w:ascii="Helvetica LT Std" w:hAnsi="Helvetica LT Std"/>
        </w:rPr>
      </w:pPr>
      <w:hyperlink r:id="rId9">
        <w:r w:rsidR="007C7DC3" w:rsidRPr="002C6528">
          <w:rPr>
            <w:rFonts w:ascii="Helvetica LT Std" w:hAnsi="Helvetica LT Std"/>
            <w:color w:val="0000FF"/>
            <w:u w:val="single" w:color="0000FF"/>
          </w:rPr>
          <w:t>https://www.observatoriorealidadsocial.es/eu/ikerketak/existe-una-navarra</w:t>
        </w:r>
      </w:hyperlink>
      <w:hyperlink r:id="rId10">
        <w:r w:rsidR="007C7DC3" w:rsidRPr="002C6528">
          <w:rPr>
            <w:rFonts w:ascii="Helvetica LT Std" w:hAnsi="Helvetica LT Std"/>
            <w:color w:val="0000FF"/>
            <w:u w:val="single" w:color="0000FF"/>
          </w:rPr>
          <w:t xml:space="preserve"> </w:t>
        </w:r>
      </w:hyperlink>
      <w:hyperlink r:id="rId11">
        <w:proofErr w:type="spellStart"/>
        <w:r w:rsidR="007C7DC3" w:rsidRPr="002C6528">
          <w:rPr>
            <w:rFonts w:ascii="Helvetica LT Std" w:hAnsi="Helvetica LT Std"/>
            <w:color w:val="0000FF"/>
            <w:u w:val="single" w:color="0000FF"/>
          </w:rPr>
          <w:t>periferica-desequilibrios-territoriales-en-navarra</w:t>
        </w:r>
        <w:proofErr w:type="spellEnd"/>
        <w:r w:rsidR="007C7DC3" w:rsidRPr="002C6528">
          <w:rPr>
            <w:rFonts w:ascii="Helvetica LT Std" w:hAnsi="Helvetica LT Std"/>
            <w:color w:val="0000FF"/>
            <w:u w:val="single" w:color="0000FF"/>
          </w:rPr>
          <w:t>/es-576487/</w:t>
        </w:r>
      </w:hyperlink>
      <w:hyperlink r:id="rId12">
        <w:r w:rsidR="007C7DC3" w:rsidRPr="002C6528">
          <w:rPr>
            <w:rFonts w:ascii="Helvetica LT Std" w:hAnsi="Helvetica LT Std"/>
            <w:color w:val="0000FF"/>
            <w:u w:val="single" w:color="0000FF"/>
          </w:rPr>
          <w:t>#</w:t>
        </w:r>
      </w:hyperlink>
      <w:hyperlink r:id="rId13"/>
    </w:p>
    <w:p w14:paraId="7BF36C58" w14:textId="77777777" w:rsidR="002C6528" w:rsidRPr="002C6528" w:rsidRDefault="007C7DC3" w:rsidP="00393E9E">
      <w:pPr>
        <w:spacing w:after="0" w:line="276" w:lineRule="auto"/>
        <w:ind w:left="959" w:right="410"/>
        <w:rPr>
          <w:rFonts w:ascii="Helvetica LT Std" w:hAnsi="Helvetica LT Std"/>
        </w:rPr>
      </w:pPr>
      <w:r w:rsidRPr="002C6528">
        <w:rPr>
          <w:rFonts w:ascii="Helvetica LT Std" w:hAnsi="Helvetica LT Std"/>
        </w:rPr>
        <w:t xml:space="preserve">Azkenik, Nafarroako Estatistika Institutuak, Nafarroako Foru Komunitateko estatistikako erakunde ofizialak, iragan ekainaren </w:t>
      </w:r>
      <w:proofErr w:type="spellStart"/>
      <w:r w:rsidRPr="002C6528">
        <w:rPr>
          <w:rFonts w:ascii="Helvetica LT Std" w:hAnsi="Helvetica LT Std"/>
        </w:rPr>
        <w:t>22an</w:t>
      </w:r>
      <w:proofErr w:type="spellEnd"/>
      <w:r w:rsidRPr="002C6528">
        <w:rPr>
          <w:rFonts w:ascii="Helvetica LT Std" w:hAnsi="Helvetica LT Std"/>
        </w:rPr>
        <w:t xml:space="preserve"> Nafarroako Soldata Egiturari buruzko urteroko inkesta argitaratu zuen. Horren helburu nagusia da langile bakoitzeko urteko irabazi gordinen zenbatespenak lortzea, lanaldi motaren, sexuaren, Ekonomia Jardueren Sailkapen Nazionaleko (EJSN-09) atalaren eta Lanbideen Sailkapen Nazionaleko (LSN-11) lanbidearen arabera. Esteka honen bidez eskura dezakezu inkesta:</w:t>
      </w:r>
    </w:p>
    <w:p w14:paraId="316E267F" w14:textId="3D297ED4" w:rsidR="00A71E9D" w:rsidRPr="002C6528" w:rsidRDefault="002C6528" w:rsidP="00393E9E">
      <w:pPr>
        <w:spacing w:after="32" w:line="276" w:lineRule="auto"/>
        <w:ind w:left="957" w:right="0" w:hanging="8"/>
        <w:jc w:val="left"/>
        <w:rPr>
          <w:rFonts w:ascii="Helvetica LT Std" w:hAnsi="Helvetica LT Std"/>
        </w:rPr>
      </w:pPr>
      <w:hyperlink r:id="rId14">
        <w:r w:rsidR="007C7DC3" w:rsidRPr="002C6528">
          <w:rPr>
            <w:rFonts w:ascii="Helvetica LT Std" w:hAnsi="Helvetica LT Std"/>
            <w:color w:val="0000FF"/>
            <w:u w:val="single" w:color="0000FF"/>
          </w:rPr>
          <w:t xml:space="preserve">https://nastat.navarra.es/documents/5122306/0/estructura_salarial_nastat.p </w:t>
        </w:r>
      </w:hyperlink>
      <w:hyperlink r:id="rId15">
        <w:proofErr w:type="spellStart"/>
        <w:r w:rsidR="007C7DC3" w:rsidRPr="002C6528">
          <w:rPr>
            <w:rFonts w:ascii="Helvetica LT Std" w:hAnsi="Helvetica LT Std"/>
            <w:color w:val="0000FF"/>
            <w:u w:val="single" w:color="0000FF"/>
          </w:rPr>
          <w:t>df</w:t>
        </w:r>
        <w:proofErr w:type="spellEnd"/>
        <w:r w:rsidR="007C7DC3" w:rsidRPr="002C6528">
          <w:rPr>
            <w:rFonts w:ascii="Helvetica LT Std" w:hAnsi="Helvetica LT Std"/>
            <w:color w:val="0000FF"/>
            <w:u w:val="single" w:color="0000FF"/>
          </w:rPr>
          <w:t>/</w:t>
        </w:r>
        <w:proofErr w:type="spellStart"/>
        <w:r w:rsidR="007C7DC3" w:rsidRPr="002C6528">
          <w:rPr>
            <w:rFonts w:ascii="Helvetica LT Std" w:hAnsi="Helvetica LT Std"/>
            <w:color w:val="0000FF"/>
            <w:u w:val="single" w:color="0000FF"/>
          </w:rPr>
          <w:t>c2f9df60-a4a1-d2f4-5776-9b20b4976145?t</w:t>
        </w:r>
        <w:proofErr w:type="spellEnd"/>
        <w:r w:rsidR="007C7DC3" w:rsidRPr="002C6528">
          <w:rPr>
            <w:rFonts w:ascii="Helvetica LT Std" w:hAnsi="Helvetica LT Std"/>
            <w:color w:val="0000FF"/>
            <w:u w:val="single" w:color="0000FF"/>
          </w:rPr>
          <w:t>=1655888242037</w:t>
        </w:r>
      </w:hyperlink>
    </w:p>
    <w:p w14:paraId="734AC909" w14:textId="77777777" w:rsidR="002C6528" w:rsidRPr="002C6528" w:rsidRDefault="007C7DC3" w:rsidP="00393E9E">
      <w:pPr>
        <w:spacing w:line="276" w:lineRule="auto"/>
        <w:ind w:left="959" w:right="410"/>
        <w:rPr>
          <w:rFonts w:ascii="Helvetica LT Std" w:hAnsi="Helvetica LT Std"/>
        </w:rPr>
      </w:pPr>
      <w:proofErr w:type="spellStart"/>
      <w:r w:rsidRPr="002C6528">
        <w:rPr>
          <w:rFonts w:ascii="Helvetica LT Std" w:hAnsi="Helvetica LT Std"/>
        </w:rPr>
        <w:t>2020ko</w:t>
      </w:r>
      <w:proofErr w:type="spellEnd"/>
      <w:r w:rsidRPr="002C6528">
        <w:rPr>
          <w:rFonts w:ascii="Helvetica LT Std" w:hAnsi="Helvetica LT Std"/>
        </w:rPr>
        <w:t xml:space="preserve"> soldata-egiturari buruzko udal inkesta ere argitaratu zen </w:t>
      </w:r>
      <w:proofErr w:type="spellStart"/>
      <w:r w:rsidRPr="002C6528">
        <w:rPr>
          <w:rFonts w:ascii="Helvetica LT Std" w:hAnsi="Helvetica LT Std"/>
        </w:rPr>
        <w:t>2022ko</w:t>
      </w:r>
      <w:proofErr w:type="spellEnd"/>
      <w:r w:rsidRPr="002C6528">
        <w:rPr>
          <w:rFonts w:ascii="Helvetica LT Std" w:hAnsi="Helvetica LT Std"/>
        </w:rPr>
        <w:t xml:space="preserve"> uztailaren </w:t>
      </w:r>
      <w:proofErr w:type="spellStart"/>
      <w:r w:rsidRPr="002C6528">
        <w:rPr>
          <w:rFonts w:ascii="Helvetica LT Std" w:hAnsi="Helvetica LT Std"/>
        </w:rPr>
        <w:t>27an</w:t>
      </w:r>
      <w:proofErr w:type="spellEnd"/>
      <w:r w:rsidRPr="002C6528">
        <w:rPr>
          <w:rFonts w:ascii="Helvetica LT Std" w:hAnsi="Helvetica LT Std"/>
        </w:rPr>
        <w:t xml:space="preserve"> </w:t>
      </w:r>
      <w:hyperlink r:id="rId16">
        <w:r w:rsidRPr="002C6528">
          <w:rPr>
            <w:rFonts w:ascii="Helvetica LT Std" w:hAnsi="Helvetica LT Std"/>
          </w:rPr>
          <w:t>(</w:t>
        </w:r>
      </w:hyperlink>
      <w:hyperlink r:id="rId17">
        <w:r w:rsidRPr="002C6528">
          <w:rPr>
            <w:rFonts w:ascii="Helvetica LT Std" w:hAnsi="Helvetica LT Std"/>
            <w:color w:val="0000FF"/>
            <w:u w:val="single" w:color="0000FF"/>
          </w:rPr>
          <w:t>https://nastat.navarra.es/es/tablas_powerbi/-/tag/estadistica-municipal</w:t>
        </w:r>
      </w:hyperlink>
      <w:hyperlink r:id="rId18">
        <w:r w:rsidRPr="002C6528">
          <w:rPr>
            <w:rFonts w:ascii="Helvetica LT Std" w:hAnsi="Helvetica LT Std"/>
            <w:color w:val="0000FF"/>
            <w:u w:val="single" w:color="0000FF"/>
          </w:rPr>
          <w:t>estructura-salarial</w:t>
        </w:r>
      </w:hyperlink>
      <w:hyperlink r:id="rId19">
        <w:r w:rsidRPr="002C6528">
          <w:rPr>
            <w:rFonts w:ascii="Helvetica LT Std" w:hAnsi="Helvetica LT Std"/>
          </w:rPr>
          <w:t xml:space="preserve"> </w:t>
        </w:r>
      </w:hyperlink>
      <w:r w:rsidRPr="002C6528">
        <w:rPr>
          <w:rFonts w:ascii="Helvetica LT Std" w:hAnsi="Helvetica LT Std"/>
        </w:rPr>
        <w:t>). Hor udalerriaren eta beste lurralde-</w:t>
      </w:r>
      <w:proofErr w:type="spellStart"/>
      <w:r w:rsidRPr="002C6528">
        <w:rPr>
          <w:rFonts w:ascii="Helvetica LT Std" w:hAnsi="Helvetica LT Std"/>
        </w:rPr>
        <w:t>zonifikazio</w:t>
      </w:r>
      <w:proofErr w:type="spellEnd"/>
      <w:r w:rsidRPr="002C6528">
        <w:rPr>
          <w:rFonts w:ascii="Helvetica LT Std" w:hAnsi="Helvetica LT Std"/>
        </w:rPr>
        <w:t xml:space="preserve"> batzuen arabera antolatuta azaltzen dira inguruabar hauei lotutako arrakalak: sexua, nazionalitatea, jaiolekua, sektore ekonomikoa, adin taldea eta desgaitasuna.</w:t>
      </w:r>
    </w:p>
    <w:p w14:paraId="1F2065F0" w14:textId="44906A4C" w:rsidR="00A71E9D" w:rsidRPr="002C6528" w:rsidRDefault="007C7DC3" w:rsidP="00393E9E">
      <w:pPr>
        <w:spacing w:line="276" w:lineRule="auto"/>
        <w:ind w:left="959" w:right="410"/>
        <w:rPr>
          <w:rFonts w:ascii="Helvetica LT Std" w:hAnsi="Helvetica LT Std"/>
        </w:rPr>
      </w:pPr>
      <w:r w:rsidRPr="002C6528">
        <w:rPr>
          <w:rFonts w:ascii="Helvetica LT Std" w:hAnsi="Helvetica LT Std"/>
        </w:rPr>
        <w:t>Hori guztia jakinarazten dizut, Nafarroako Parlamentuko Erregelamenduaren 194. artikulua betez.</w:t>
      </w:r>
    </w:p>
    <w:p w14:paraId="38F366D4" w14:textId="77777777" w:rsidR="00A71E9D" w:rsidRPr="002C6528" w:rsidRDefault="007C7DC3" w:rsidP="00393E9E">
      <w:pPr>
        <w:spacing w:after="591" w:line="276" w:lineRule="auto"/>
        <w:ind w:left="560" w:right="3"/>
        <w:jc w:val="center"/>
        <w:rPr>
          <w:rFonts w:ascii="Helvetica LT Std" w:hAnsi="Helvetica LT Std"/>
        </w:rPr>
      </w:pPr>
      <w:r w:rsidRPr="002C6528">
        <w:rPr>
          <w:rFonts w:ascii="Helvetica LT Std" w:hAnsi="Helvetica LT Std"/>
        </w:rPr>
        <w:t xml:space="preserve">Iruñean, </w:t>
      </w:r>
      <w:proofErr w:type="spellStart"/>
      <w:r w:rsidRPr="002C6528">
        <w:rPr>
          <w:rFonts w:ascii="Helvetica LT Std" w:hAnsi="Helvetica LT Std"/>
        </w:rPr>
        <w:t>2022ko</w:t>
      </w:r>
      <w:proofErr w:type="spellEnd"/>
      <w:r w:rsidRPr="002C6528">
        <w:rPr>
          <w:rFonts w:ascii="Helvetica LT Std" w:hAnsi="Helvetica LT Std"/>
        </w:rPr>
        <w:t xml:space="preserve"> urriaren </w:t>
      </w:r>
      <w:proofErr w:type="spellStart"/>
      <w:r w:rsidRPr="002C6528">
        <w:rPr>
          <w:rFonts w:ascii="Helvetica LT Std" w:hAnsi="Helvetica LT Std"/>
        </w:rPr>
        <w:t>31n</w:t>
      </w:r>
      <w:proofErr w:type="spellEnd"/>
    </w:p>
    <w:p w14:paraId="43DEB752" w14:textId="77777777" w:rsidR="002C6528" w:rsidRPr="002C6528" w:rsidRDefault="007C7DC3" w:rsidP="007C7DC3">
      <w:pPr>
        <w:spacing w:after="0" w:line="360" w:lineRule="auto"/>
        <w:ind w:left="0" w:right="0" w:firstLine="0"/>
        <w:jc w:val="left"/>
        <w:rPr>
          <w:rFonts w:ascii="Helvetica LT Std" w:hAnsi="Helvetica LT Std" w:cs="Arial"/>
          <w:color w:val="auto"/>
        </w:rPr>
      </w:pPr>
      <w:r w:rsidRPr="002C6528">
        <w:rPr>
          <w:rFonts w:ascii="Helvetica LT Std" w:hAnsi="Helvetica LT Std"/>
          <w:color w:val="auto"/>
        </w:rPr>
        <w:t xml:space="preserve">Lehendakaritzako, Berdintasuneko, Funtzio Publikoko eta Barneko kontseilaria: Javier </w:t>
      </w:r>
      <w:proofErr w:type="spellStart"/>
      <w:r w:rsidRPr="002C6528">
        <w:rPr>
          <w:rFonts w:ascii="Helvetica LT Std" w:hAnsi="Helvetica LT Std"/>
          <w:color w:val="auto"/>
        </w:rPr>
        <w:t>Remírez</w:t>
      </w:r>
      <w:proofErr w:type="spellEnd"/>
      <w:r w:rsidRPr="002C6528">
        <w:rPr>
          <w:rFonts w:ascii="Helvetica LT Std" w:hAnsi="Helvetica LT Std"/>
          <w:color w:val="auto"/>
        </w:rPr>
        <w:t xml:space="preserve"> </w:t>
      </w:r>
      <w:proofErr w:type="spellStart"/>
      <w:r w:rsidRPr="002C6528">
        <w:rPr>
          <w:rFonts w:ascii="Helvetica LT Std" w:hAnsi="Helvetica LT Std"/>
          <w:color w:val="auto"/>
        </w:rPr>
        <w:t>Apesteguía</w:t>
      </w:r>
      <w:proofErr w:type="spellEnd"/>
    </w:p>
    <w:p w14:paraId="45966E3B" w14:textId="170F5FE6" w:rsidR="00A71E9D" w:rsidRPr="002C6528" w:rsidRDefault="00A71E9D" w:rsidP="007C7DC3">
      <w:pPr>
        <w:spacing w:line="276" w:lineRule="auto"/>
        <w:ind w:left="1218" w:right="410"/>
        <w:rPr>
          <w:rFonts w:ascii="Helvetica LT Std" w:hAnsi="Helvetica LT Std"/>
        </w:rPr>
      </w:pPr>
    </w:p>
    <w:sectPr w:rsidR="00A71E9D" w:rsidRPr="002C6528" w:rsidSect="00393E9E">
      <w:headerReference w:type="even" r:id="rId20"/>
      <w:headerReference w:type="first" r:id="rId21"/>
      <w:pgSz w:w="11900" w:h="16840"/>
      <w:pgMar w:top="1135" w:right="1280" w:bottom="2016"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8F7B" w14:textId="77777777" w:rsidR="00442B77" w:rsidRDefault="007C7DC3">
      <w:pPr>
        <w:spacing w:after="0" w:line="240" w:lineRule="auto"/>
      </w:pPr>
      <w:r>
        <w:separator/>
      </w:r>
    </w:p>
  </w:endnote>
  <w:endnote w:type="continuationSeparator" w:id="0">
    <w:p w14:paraId="322B9477" w14:textId="77777777" w:rsidR="00442B77" w:rsidRDefault="007C7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AA45" w14:textId="77777777" w:rsidR="00442B77" w:rsidRDefault="007C7DC3">
      <w:pPr>
        <w:spacing w:after="0" w:line="240" w:lineRule="auto"/>
      </w:pPr>
      <w:r>
        <w:separator/>
      </w:r>
    </w:p>
  </w:footnote>
  <w:footnote w:type="continuationSeparator" w:id="0">
    <w:p w14:paraId="05D81C77" w14:textId="77777777" w:rsidR="00442B77" w:rsidRDefault="007C7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3244" w14:textId="77777777" w:rsidR="00A71E9D" w:rsidRDefault="007C7DC3">
    <w:r>
      <w:rPr>
        <w:rFonts w:ascii="Calibri" w:hAnsi="Calibri"/>
        <w:noProof/>
      </w:rPr>
      <mc:AlternateContent>
        <mc:Choice Requires="wpg">
          <w:drawing>
            <wp:anchor distT="0" distB="0" distL="114300" distR="114300" simplePos="0" relativeHeight="251658240" behindDoc="1" locked="0" layoutInCell="1" allowOverlap="1" wp14:anchorId="1F8CE89A" wp14:editId="7BC40D3F">
              <wp:simplePos x="0" y="0"/>
              <wp:positionH relativeFrom="page">
                <wp:posOffset>0</wp:posOffset>
              </wp:positionH>
              <wp:positionV relativeFrom="page">
                <wp:posOffset>-1269</wp:posOffset>
              </wp:positionV>
              <wp:extent cx="7560310" cy="1802130"/>
              <wp:effectExtent l="0" t="0" r="0" b="0"/>
              <wp:wrapNone/>
              <wp:docPr id="1696" name="Group 1696"/>
              <wp:cNvGraphicFramePr/>
              <a:graphic xmlns:a="http://schemas.openxmlformats.org/drawingml/2006/main">
                <a:graphicData uri="http://schemas.microsoft.com/office/word/2010/wordprocessingGroup">
                  <wpg:wgp>
                    <wpg:cNvGrpSpPr/>
                    <wpg:grpSpPr>
                      <a:xfrm>
                        <a:off x="0" y="0"/>
                        <a:ext cx="7560310" cy="1802130"/>
                        <a:chOff x="0" y="0"/>
                        <a:chExt cx="7560310" cy="1802130"/>
                      </a:xfrm>
                    </wpg:grpSpPr>
                    <pic:pic xmlns:pic="http://schemas.openxmlformats.org/drawingml/2006/picture">
                      <pic:nvPicPr>
                        <pic:cNvPr id="1697" name="Picture 1697"/>
                        <pic:cNvPicPr/>
                      </pic:nvPicPr>
                      <pic:blipFill>
                        <a:blip r:embed="rId1"/>
                        <a:stretch>
                          <a:fillRect/>
                        </a:stretch>
                      </pic:blipFill>
                      <pic:spPr>
                        <a:xfrm>
                          <a:off x="0" y="0"/>
                          <a:ext cx="7560310" cy="1802130"/>
                        </a:xfrm>
                        <a:prstGeom prst="rect">
                          <a:avLst/>
                        </a:prstGeom>
                      </pic:spPr>
                    </pic:pic>
                  </wpg:wgp>
                </a:graphicData>
              </a:graphic>
            </wp:anchor>
          </w:drawing>
        </mc:Choice>
        <mc:Fallback xmlns:a="http://schemas.openxmlformats.org/drawingml/2006/main">
          <w:pict>
            <v:group id="Group 1696" style="width:595.3pt;height:141.9pt;position:absolute;z-index:-2147483648;mso-position-horizontal-relative:page;mso-position-horizontal:absolute;margin-left:0pt;mso-position-vertical-relative:page;margin-top:-0.100006pt;" coordsize="75603,18021">
              <v:shape id="Picture 1697" style="position:absolute;width:75603;height:18021;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30D0" w14:textId="77777777" w:rsidR="00A71E9D" w:rsidRDefault="007C7DC3">
    <w:r>
      <w:rPr>
        <w:rFonts w:ascii="Calibri" w:hAnsi="Calibri"/>
        <w:noProof/>
      </w:rPr>
      <mc:AlternateContent>
        <mc:Choice Requires="wpg">
          <w:drawing>
            <wp:anchor distT="0" distB="0" distL="114300" distR="114300" simplePos="0" relativeHeight="251660288" behindDoc="1" locked="0" layoutInCell="1" allowOverlap="1" wp14:anchorId="536FB2B3" wp14:editId="7F275E0E">
              <wp:simplePos x="0" y="0"/>
              <wp:positionH relativeFrom="page">
                <wp:posOffset>0</wp:posOffset>
              </wp:positionH>
              <wp:positionV relativeFrom="page">
                <wp:posOffset>-1269</wp:posOffset>
              </wp:positionV>
              <wp:extent cx="7560310" cy="1802130"/>
              <wp:effectExtent l="0" t="0" r="0" b="0"/>
              <wp:wrapNone/>
              <wp:docPr id="1690" name="Group 1690"/>
              <wp:cNvGraphicFramePr/>
              <a:graphic xmlns:a="http://schemas.openxmlformats.org/drawingml/2006/main">
                <a:graphicData uri="http://schemas.microsoft.com/office/word/2010/wordprocessingGroup">
                  <wpg:wgp>
                    <wpg:cNvGrpSpPr/>
                    <wpg:grpSpPr>
                      <a:xfrm>
                        <a:off x="0" y="0"/>
                        <a:ext cx="7560310" cy="1802130"/>
                        <a:chOff x="0" y="0"/>
                        <a:chExt cx="7560310" cy="1802130"/>
                      </a:xfrm>
                    </wpg:grpSpPr>
                    <pic:pic xmlns:pic="http://schemas.openxmlformats.org/drawingml/2006/picture">
                      <pic:nvPicPr>
                        <pic:cNvPr id="1691" name="Picture 1691"/>
                        <pic:cNvPicPr/>
                      </pic:nvPicPr>
                      <pic:blipFill>
                        <a:blip r:embed="rId1"/>
                        <a:stretch>
                          <a:fillRect/>
                        </a:stretch>
                      </pic:blipFill>
                      <pic:spPr>
                        <a:xfrm>
                          <a:off x="0" y="0"/>
                          <a:ext cx="7560310" cy="1802130"/>
                        </a:xfrm>
                        <a:prstGeom prst="rect">
                          <a:avLst/>
                        </a:prstGeom>
                      </pic:spPr>
                    </pic:pic>
                  </wpg:wgp>
                </a:graphicData>
              </a:graphic>
            </wp:anchor>
          </w:drawing>
        </mc:Choice>
        <mc:Fallback xmlns:a="http://schemas.openxmlformats.org/drawingml/2006/main">
          <w:pict>
            <v:group id="Group 1690" style="width:595.3pt;height:141.9pt;position:absolute;z-index:-2147483648;mso-position-horizontal-relative:page;mso-position-horizontal:absolute;margin-left:0pt;mso-position-vertical-relative:page;margin-top:-0.100006pt;" coordsize="75603,18021">
              <v:shape id="Picture 1691" style="position:absolute;width:75603;height:18021;left:0;top:0;" filled="f">
                <v:imagedata r:id="rI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75011"/>
    <w:multiLevelType w:val="hybridMultilevel"/>
    <w:tmpl w:val="BED6C432"/>
    <w:lvl w:ilvl="0" w:tplc="5FE8E284">
      <w:start w:val="1"/>
      <w:numFmt w:val="decimal"/>
      <w:lvlText w:val="%1."/>
      <w:lvlJc w:val="left"/>
      <w:pPr>
        <w:ind w:left="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83F36">
      <w:start w:val="1"/>
      <w:numFmt w:val="lowerLetter"/>
      <w:lvlText w:val="%2"/>
      <w:lvlJc w:val="left"/>
      <w:pPr>
        <w:ind w:left="2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EA292A">
      <w:start w:val="1"/>
      <w:numFmt w:val="lowerRoman"/>
      <w:lvlText w:val="%3"/>
      <w:lvlJc w:val="left"/>
      <w:pPr>
        <w:ind w:left="2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28E23A">
      <w:start w:val="1"/>
      <w:numFmt w:val="decimal"/>
      <w:lvlText w:val="%4"/>
      <w:lvlJc w:val="left"/>
      <w:pPr>
        <w:ind w:left="3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F608BA">
      <w:start w:val="1"/>
      <w:numFmt w:val="lowerLetter"/>
      <w:lvlText w:val="%5"/>
      <w:lvlJc w:val="left"/>
      <w:pPr>
        <w:ind w:left="4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88DF80">
      <w:start w:val="1"/>
      <w:numFmt w:val="lowerRoman"/>
      <w:lvlText w:val="%6"/>
      <w:lvlJc w:val="left"/>
      <w:pPr>
        <w:ind w:left="4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D25704">
      <w:start w:val="1"/>
      <w:numFmt w:val="decimal"/>
      <w:lvlText w:val="%7"/>
      <w:lvlJc w:val="left"/>
      <w:pPr>
        <w:ind w:left="5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0E5A20">
      <w:start w:val="1"/>
      <w:numFmt w:val="lowerLetter"/>
      <w:lvlText w:val="%8"/>
      <w:lvlJc w:val="left"/>
      <w:pPr>
        <w:ind w:left="6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26F232">
      <w:start w:val="1"/>
      <w:numFmt w:val="lowerRoman"/>
      <w:lvlText w:val="%9"/>
      <w:lvlJc w:val="left"/>
      <w:pPr>
        <w:ind w:left="7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82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9D"/>
    <w:rsid w:val="002C6528"/>
    <w:rsid w:val="00393E9E"/>
    <w:rsid w:val="00442B77"/>
    <w:rsid w:val="007C7DC3"/>
    <w:rsid w:val="00A71E9D"/>
    <w:rsid w:val="00FA22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5CD5"/>
  <w15:docId w15:val="{6A341154-AB22-4224-B240-CF210FBD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65" w:lineRule="auto"/>
      <w:ind w:left="974" w:right="423"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93E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3E9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obiernoabierto.navarra.es/eu/gardentasuna/langile-publikoen-ordainsariak" TargetMode="External"/><Relationship Id="rId13" Type="http://schemas.openxmlformats.org/officeDocument/2006/relationships/hyperlink" Target="https://www.observatoriorealidadsocial.es/eu/ikerketak/existe-una-navarra-periferica-desequilibrios-territoriales-en-navarra/es-576487/%23" TargetMode="External"/><Relationship Id="rId18" Type="http://schemas.openxmlformats.org/officeDocument/2006/relationships/hyperlink" Target="https://nastat.navarra.es/es/tablas_powerbi/-/tag/estadistica-municipal-estructura-salaria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gobiernoabierto.navarra.es/eu/gardentasuna/langile-publikoen-ordainsariak" TargetMode="External"/><Relationship Id="rId12" Type="http://schemas.openxmlformats.org/officeDocument/2006/relationships/hyperlink" Target="https://www.observatoriorealidadsocial.es/eu/ikerketak/existe-una-navarra-periferica-desequilibrios-territoriales-en-navarra/es-576487/%23" TargetMode="External"/><Relationship Id="rId17" Type="http://schemas.openxmlformats.org/officeDocument/2006/relationships/hyperlink" Target="https://nastat.navarra.es/es/tablas_powerbi/-/tag/estadistica-municipal-estructura-salarial" TargetMode="External"/><Relationship Id="rId2" Type="http://schemas.openxmlformats.org/officeDocument/2006/relationships/styles" Target="styles.xml"/><Relationship Id="rId16" Type="http://schemas.openxmlformats.org/officeDocument/2006/relationships/hyperlink" Target="https://nastat.navarra.es/es/tablas_powerbi/-/tag/estadistica-municipal-estructura-salaria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bservatoriorealidadsocial.es/eu/ikerketak/existe-una-navarra-periferica-desequilibrios-territoriales-en-navarra/es-576487/%23" TargetMode="External"/><Relationship Id="rId5" Type="http://schemas.openxmlformats.org/officeDocument/2006/relationships/footnotes" Target="footnotes.xml"/><Relationship Id="rId15" Type="http://schemas.openxmlformats.org/officeDocument/2006/relationships/hyperlink" Target="https://nastat.navarra.es/documents/5122306/0/estructura_salarial_nastat.pdf/c2f9df60-a4a1-d2f4-5776-9b20b4976145?t=1655888242037" TargetMode="External"/><Relationship Id="rId23" Type="http://schemas.openxmlformats.org/officeDocument/2006/relationships/theme" Target="theme/theme1.xml"/><Relationship Id="rId10" Type="http://schemas.openxmlformats.org/officeDocument/2006/relationships/hyperlink" Target="https://www.observatoriorealidadsocial.es/eu/ikerketak/existe-una-navarra-periferica-desequilibrios-territoriales-en-navarra/es-576487/%23" TargetMode="External"/><Relationship Id="rId19" Type="http://schemas.openxmlformats.org/officeDocument/2006/relationships/hyperlink" Target="https://nastat.navarra.es/es/tablas_powerbi/-/tag/estadistica-municipal-estructura-salarial" TargetMode="External"/><Relationship Id="rId4" Type="http://schemas.openxmlformats.org/officeDocument/2006/relationships/webSettings" Target="webSettings.xml"/><Relationship Id="rId9" Type="http://schemas.openxmlformats.org/officeDocument/2006/relationships/hyperlink" Target="https://www.observatoriorealidadsocial.es/eu/ikerketak/existe-una-navarra-periferica-desequilibrios-territoriales-en-navarra/es-576487/%23" TargetMode="External"/><Relationship Id="rId14" Type="http://schemas.openxmlformats.org/officeDocument/2006/relationships/hyperlink" Target="https://nastat.navarra.es/documents/5122306/0/estructura_salarial_nastat.pdf/c2f9df60-a4a1-d2f4-5776-9b20b4976145?t=165588824203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855</Words>
  <Characters>4703</Characters>
  <Application>Microsoft Office Word</Application>
  <DocSecurity>0</DocSecurity>
  <Lines>39</Lines>
  <Paragraphs>11</Paragraphs>
  <ScaleCrop>false</ScaleCrop>
  <Company>Hewlett-Packard Company</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n059048</dc:creator>
  <cp:keywords/>
  <cp:lastModifiedBy>Aranaz, Carlota</cp:lastModifiedBy>
  <cp:revision>5</cp:revision>
  <dcterms:created xsi:type="dcterms:W3CDTF">2022-11-08T16:11:00Z</dcterms:created>
  <dcterms:modified xsi:type="dcterms:W3CDTF">2023-01-03T08:21:00Z</dcterms:modified>
</cp:coreProperties>
</file>