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2C49" w14:textId="77777777" w:rsidR="007D3939" w:rsidRPr="007D3939" w:rsidRDefault="007D3939" w:rsidP="007D3939">
      <w:pPr>
        <w:pStyle w:val="Estilo"/>
        <w:spacing w:before="1" w:beforeAutospacing="1" w:after="1" w:afterAutospacing="1"/>
        <w:rPr>
          <w:rFonts w:asciiTheme="minorHAnsi" w:hAnsiTheme="minorHAnsi"/>
          <w:sz w:val="28"/>
        </w:rPr>
      </w:pPr>
      <w:r w:rsidRPr="007D3939">
        <w:rPr>
          <w:rFonts w:asciiTheme="minorHAnsi" w:hAnsiTheme="minorHAnsi"/>
          <w:sz w:val="28"/>
        </w:rPr>
        <w:t>Nafarroako Parlamentuko Mahaiak, 2023ko urtarrilaren 16an egindako bilkuran, erabaki hau hartu zuen, besteak beste:</w:t>
      </w:r>
    </w:p>
    <w:p w14:paraId="3C59B61A" w14:textId="77777777" w:rsidR="007D3939" w:rsidRPr="007D3939" w:rsidRDefault="007D3939" w:rsidP="007D3939">
      <w:pPr>
        <w:pStyle w:val="Estilo"/>
        <w:spacing w:before="1" w:beforeAutospacing="1" w:after="1" w:afterAutospacing="1"/>
        <w:rPr>
          <w:rFonts w:asciiTheme="minorHAnsi" w:hAnsiTheme="minorHAnsi"/>
          <w:sz w:val="28"/>
        </w:rPr>
      </w:pPr>
      <w:r w:rsidRPr="007D3939">
        <w:rPr>
          <w:rFonts w:asciiTheme="minorHAnsi" w:hAnsiTheme="minorHAnsi"/>
          <w:sz w:val="28"/>
        </w:rPr>
        <w:t>Nafarroako Foru Eraentza Berrezarri eta Hobetzeari buruzko Lege Organikoaren 19.1.b) artikuluak aitortzen dien legegintza-ekimena erabiliz, Nafarroako Alderdi Sozialista eta Geroa Bai talde parlamentarioek eta Nafarroako Podemos-Ahal Dugu foru parlamentarien elkarteak Nafarroako Abereen Osasunari buruzko azaroaren 16ko 11/2000 Foru Legea aldatzeko Foru Lege proposamena aurkeztu du.</w:t>
      </w:r>
    </w:p>
    <w:p w14:paraId="58ABC528" w14:textId="77777777" w:rsidR="007D3939" w:rsidRPr="007D3939" w:rsidRDefault="007D3939" w:rsidP="007D3939">
      <w:pPr>
        <w:pStyle w:val="Estilo"/>
        <w:spacing w:before="1" w:beforeAutospacing="1" w:after="1" w:afterAutospacing="1"/>
        <w:rPr>
          <w:rFonts w:asciiTheme="minorHAnsi" w:hAnsiTheme="minorHAnsi"/>
          <w:sz w:val="28"/>
        </w:rPr>
      </w:pPr>
      <w:r w:rsidRPr="007D3939">
        <w:rPr>
          <w:rFonts w:asciiTheme="minorHAnsi" w:hAnsiTheme="minorHAnsi"/>
          <w:sz w:val="28"/>
        </w:rPr>
        <w:t>Hori horrela, Legebiltzarreko Erregelamenduko 148. artikuluan ezarritakoarekin bat, Eledunen Batzarrari entzun ondoren, hona</w:t>
      </w:r>
    </w:p>
    <w:p w14:paraId="50B774D5" w14:textId="77777777" w:rsidR="007D3939" w:rsidRPr="007D3939" w:rsidRDefault="007D3939" w:rsidP="007D3939">
      <w:pPr>
        <w:pStyle w:val="Estilo"/>
        <w:spacing w:before="1" w:beforeAutospacing="1" w:after="1" w:afterAutospacing="1"/>
        <w:rPr>
          <w:rFonts w:asciiTheme="minorHAnsi" w:hAnsiTheme="minorHAnsi"/>
          <w:sz w:val="28"/>
        </w:rPr>
      </w:pPr>
      <w:r w:rsidRPr="007D3939">
        <w:rPr>
          <w:rFonts w:asciiTheme="minorHAnsi" w:hAnsiTheme="minorHAnsi"/>
          <w:sz w:val="28"/>
        </w:rPr>
        <w:t>ERABAKIA:</w:t>
      </w:r>
    </w:p>
    <w:p w14:paraId="2909FF66" w14:textId="77777777" w:rsidR="007D3939" w:rsidRPr="007D3939" w:rsidRDefault="007D3939" w:rsidP="007D3939">
      <w:pPr>
        <w:pStyle w:val="Estilo"/>
        <w:spacing w:before="1" w:beforeAutospacing="1" w:after="1" w:afterAutospacing="1"/>
        <w:rPr>
          <w:rFonts w:asciiTheme="minorHAnsi" w:hAnsiTheme="minorHAnsi"/>
          <w:sz w:val="28"/>
        </w:rPr>
      </w:pPr>
      <w:r w:rsidRPr="007D3939">
        <w:rPr>
          <w:rFonts w:asciiTheme="minorHAnsi" w:hAnsiTheme="minorHAnsi"/>
          <w:sz w:val="28"/>
        </w:rPr>
        <w:t>1. Agintzea Nafarroako Parlamentuko Aldizkari Ofizialean argitara dadin Nafarroako Abereen Osasunari buruzko azaroaren 16ko 11/2000 Foru Legea aldatzeko Foru Lege proposamena.</w:t>
      </w:r>
    </w:p>
    <w:p w14:paraId="7F97B4BB" w14:textId="77777777" w:rsidR="007D3939" w:rsidRPr="007D3939" w:rsidRDefault="007D3939" w:rsidP="007D3939">
      <w:pPr>
        <w:pStyle w:val="Estilo"/>
        <w:spacing w:before="1" w:beforeAutospacing="1" w:after="1" w:afterAutospacing="1"/>
        <w:rPr>
          <w:rFonts w:asciiTheme="minorHAnsi" w:hAnsiTheme="minorHAnsi"/>
          <w:sz w:val="28"/>
        </w:rPr>
      </w:pPr>
      <w:r w:rsidRPr="007D3939">
        <w:rPr>
          <w:rFonts w:asciiTheme="minorHAnsi" w:hAnsiTheme="minorHAnsi"/>
          <w:sz w:val="28"/>
        </w:rPr>
        <w:t>2. Foru lege proposamen hori Nafarroako Gobernuari igortzea, Erregelamenduko 148. artikuluan ezarritako ondorioetarako.</w:t>
      </w:r>
    </w:p>
    <w:p w14:paraId="79FD717A" w14:textId="77777777" w:rsidR="007D3939" w:rsidRPr="007D3939" w:rsidRDefault="007D3939" w:rsidP="007D3939">
      <w:pPr>
        <w:pStyle w:val="Estilo"/>
        <w:spacing w:before="1" w:beforeAutospacing="1" w:after="1" w:afterAutospacing="1"/>
        <w:rPr>
          <w:rFonts w:asciiTheme="minorHAnsi" w:hAnsiTheme="minorHAnsi"/>
          <w:sz w:val="28"/>
        </w:rPr>
      </w:pPr>
      <w:r w:rsidRPr="007D3939">
        <w:rPr>
          <w:rFonts w:asciiTheme="minorHAnsi" w:hAnsiTheme="minorHAnsi"/>
          <w:sz w:val="28"/>
        </w:rPr>
        <w:t>Iruñean, 2023ko urtarrilaren 16an</w:t>
      </w:r>
    </w:p>
    <w:p w14:paraId="7F5DD4F7" w14:textId="0AF745CB" w:rsidR="005B16F2" w:rsidRDefault="007D3939" w:rsidP="007D3939">
      <w:pPr>
        <w:pStyle w:val="Estilo"/>
        <w:spacing w:before="1" w:beforeAutospacing="1" w:after="1" w:afterAutospacing="1"/>
        <w:rPr>
          <w:rFonts w:asciiTheme="minorHAnsi" w:hAnsiTheme="minorHAnsi" w:cstheme="minorHAnsi"/>
          <w:sz w:val="28"/>
          <w:szCs w:val="28"/>
        </w:rPr>
      </w:pPr>
      <w:r w:rsidRPr="007D3939">
        <w:rPr>
          <w:rFonts w:asciiTheme="minorHAnsi" w:hAnsiTheme="minorHAnsi"/>
          <w:sz w:val="28"/>
        </w:rPr>
        <w:t>Lehendakaria: Unai Hualde Iglesias</w:t>
      </w:r>
    </w:p>
    <w:p w14:paraId="4DBFFBDE" w14:textId="77777777" w:rsidR="005B16F2" w:rsidRPr="005B16F2" w:rsidRDefault="005B16F2" w:rsidP="005B16F2">
      <w:pPr>
        <w:pStyle w:val="Estilo"/>
        <w:spacing w:before="1" w:beforeAutospacing="1" w:after="1" w:afterAutospacing="1"/>
        <w:rPr>
          <w:rFonts w:asciiTheme="minorHAnsi" w:hAnsiTheme="minorHAnsi" w:cstheme="minorHAnsi"/>
          <w:b/>
          <w:bCs/>
          <w:sz w:val="28"/>
          <w:szCs w:val="28"/>
        </w:rPr>
      </w:pPr>
      <w:r>
        <w:rPr>
          <w:rFonts w:asciiTheme="minorHAnsi" w:hAnsiTheme="minorHAnsi"/>
          <w:b/>
          <w:sz w:val="28"/>
        </w:rPr>
        <w:t>Foru lege proposamena, Nafarroako Abereen Osasunari buruzko azaroaren 16ko 11/2000 Foru Legea aldatzekoa.</w:t>
      </w:r>
    </w:p>
    <w:p w14:paraId="592E6277"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Zioen azalpena</w:t>
      </w:r>
    </w:p>
    <w:p w14:paraId="638461DE"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Abereen gaixotasun kutsagarriek ondorio latzak izan ditzakete abereentzat eta abeltzainentzat, baita ekonomian ere. Era berean, osasun publikoari eta elikagaien segurtasunari ere eragin diezaiekete. Europar Batasunak, 2007az geroztik, erabaki zuen estrategia berri batekin jokatzea abereen osasunaren arloan, eta arauen garapenerako oinarritzat hartu zuen “Aurre hartzea, sendatzea baino hobea” dioen printzipioa. 2016/429 Erregelamenduak, “abereen osasunari buruzko Europako legea” delakoak, norabide horretan lanean segitzeko beharra indartzen du.</w:t>
      </w:r>
    </w:p>
    <w:p w14:paraId="68AB7E67"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Prebentzioari heltzeko garaian, abeltegien kokapena eta diseinua izaten da baldintza nagusietako bat. Abeltegia kokatuta dagoen eremuko abere-</w:t>
      </w:r>
      <w:r>
        <w:rPr>
          <w:rFonts w:asciiTheme="minorHAnsi" w:hAnsiTheme="minorHAnsi"/>
          <w:sz w:val="28"/>
        </w:rPr>
        <w:lastRenderedPageBreak/>
        <w:t>dentsitateak baldintzatzen du eritasun kutsakorrak izateko arriskua. Hori dela eta, behar-beharrezkoa da ustiategien gehieneko neurriak eta abeltegien arteko distantzia arautzea, eta, horrela, abere-dentsitatea mugatzea. Jarduketa horrek apaldu eginen du eritasunak zabaltzeko arriskua, erraztu eginen baitu eritasun fokuren bat detektatzen denean hura kontrolatu eta desagerrarazteko lana, eta, beraz, haren ondorioak gutxituko baititu.</w:t>
      </w:r>
    </w:p>
    <w:p w14:paraId="161D1FD2"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Abereen Osasunari buruzko egungo Foru Legeak 28. eta 29. artikuluetan (“Distantziak” eta “Abere-dentsitatea”) aipatzen ditu elementu horiek. Arau honek artikulu horien testua aldatzen du, eta abeltegiaren gehieneko neurriak ezartzen dituen eranskin bat gehitzen du.</w:t>
      </w:r>
    </w:p>
    <w:p w14:paraId="765A6C10"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 xml:space="preserve">Horrez gain, 39. artikulua aldatzen du, abeltegiari ematen ahal zaion gehieneko kalte-ordainaren zenbatekoa mugatzeko, ustiategi handiek osasun arriskuen aurrean prebentzio neurriak hartzea eta </w:t>
      </w:r>
      <w:proofErr w:type="spellStart"/>
      <w:r>
        <w:rPr>
          <w:rFonts w:asciiTheme="minorHAnsi" w:hAnsiTheme="minorHAnsi"/>
          <w:sz w:val="28"/>
        </w:rPr>
        <w:t>erantzunkidetasunez</w:t>
      </w:r>
      <w:proofErr w:type="spellEnd"/>
      <w:r>
        <w:rPr>
          <w:rFonts w:asciiTheme="minorHAnsi" w:hAnsiTheme="minorHAnsi"/>
          <w:sz w:val="28"/>
        </w:rPr>
        <w:t xml:space="preserve"> jokatzea sustatzeko helburuarekin.</w:t>
      </w:r>
    </w:p>
    <w:p w14:paraId="05F0AB89"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Bestalde, kontuan hartu behar da abenduaren 27ko 1053/2022 Errege Dekretuaren bidez behitegiak arautzeko oinarrizko xedapenak ezarri direla.</w:t>
      </w:r>
    </w:p>
    <w:p w14:paraId="7CF154D9"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 xml:space="preserve">Arau horri jarraikiz, behitegien ekoizpen-ahalmena 850 </w:t>
      </w:r>
      <w:proofErr w:type="spellStart"/>
      <w:r>
        <w:rPr>
          <w:rFonts w:asciiTheme="minorHAnsi" w:hAnsiTheme="minorHAnsi"/>
          <w:sz w:val="28"/>
        </w:rPr>
        <w:t>AzLUtan</w:t>
      </w:r>
      <w:proofErr w:type="spellEnd"/>
      <w:r>
        <w:rPr>
          <w:rFonts w:asciiTheme="minorHAnsi" w:hAnsiTheme="minorHAnsi"/>
          <w:sz w:val="28"/>
        </w:rPr>
        <w:t xml:space="preserve"> finkatuta gelditzen da. Gainera, aurreikusten da errege-dekretua indarrean jarri baino lehen abian zeuden eta 1.2 artikuluan ezarritako gehieneko ekoizpen-ahalmena gainditzen zuten ustiategiek ahalmen horri eusten ahalko diotela, baina ezin izanen dutela handiagotu, inola ere.</w:t>
      </w:r>
    </w:p>
    <w:p w14:paraId="5150FDDF"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Aipatutako errege-dekretuaren lehen xedapen iragankorrak adierazten duenez, izapidetze-fasean dauden ustiategien baimenari buruzko espedienteak, administrazio-bidean ez bada horien gaineko ebazpen irmorik eman, baina ekoizpen-prozesuarekin lotura zuzena duten instalazioak eraikitzen hasteko egin beharreko izapide guztiak beteta bazituzten 2022ko apirilaren 6a baino lehen –data horretan bukatu baitzen entzunaldi publikoko izapidea–, izapide horiek bete zirenean indarrean zegoen araudiaren arabera ebatziko dira.</w:t>
      </w:r>
    </w:p>
    <w:p w14:paraId="2B28235D"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Xedapen horrek erreferentziazko data bat finkatzen du alde batetik, eta, bestetik, ezartzen du zer eskakizun bete behar dituzten data hori baino lehenago aurkeztutako eskabideek errege-dekretuko xedapenak ez dakizkien aplikatzekoak izan. Hori horrela, foru-arauan zenbait alderdi arautzea komeni da.</w:t>
      </w:r>
    </w:p>
    <w:p w14:paraId="3DE167F9"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lastRenderedPageBreak/>
        <w:t>Hasteko, zehaztu behar da errege-dekretua indarrean jarri baino lehen abian zeuden eta dekretuan ezarritako gehieneko ekoizpen-ahalmena gainditzen zuten ustiategiek ahalmen horri eusten ahalko diotela, baina ezin izanen dutela handiagotu, inola ere. Ondorio horietarako, ustiategi horien indarreko ingurumen-baimenean jasotako gehieneko ahalmena hartuko da kontuan.</w:t>
      </w:r>
    </w:p>
    <w:p w14:paraId="0B5E9659"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Bigarrenik, izapidetan dauden espedienteak ebaztean aplikatu beharreko araubide juridikoa zehaztu behar da, eta, horretarako, errege-dekretuaren lehen xedapen iragankorrean finkatutako data hartuko da erreferentzia gisa. Hori horrela, 2022ko apirilaren 6a baino lehen aurkeztutako behitegien baimenei dagozkien espedienteei, administrazio-bidean ez bada horien gaineko ebazpen irmorik eman, behitegien oinarrizko antolamendurako arauak ezartzen dituen abenduaren 27ko 1053/2022 Errege Dekretuaren lehen xedapen iragankorrean xedatutakoa aplikatuko zaie, eta, aldiz, data hori baino beranduago aurkeztutakoei, foru lege honetan xedatutakoa.</w:t>
      </w:r>
    </w:p>
    <w:p w14:paraId="46BA9478"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Hori guztia dela eta, Nafarroako Abereen Osasunari buruzko azaroaren 16ko 11/2000 Foru Legea aldatzeko Foru Lege proposamen hau aurkezten da, izapidetua izan dadin.</w:t>
      </w:r>
    </w:p>
    <w:p w14:paraId="7EDEAC03"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Artikulu bakarra. Aldatu egiten dira Nafarroako Abereen Osasunari buruzko azaroaren 16ko 11/2000 Foru Legearen manu hauek, eta testu hau izanen dute aurrerantzean:</w:t>
      </w:r>
    </w:p>
    <w:p w14:paraId="3F79E8EC"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Bat. 28. artikulua aldatzen da, eta testu hau izanen du aurrerantzean:</w:t>
      </w:r>
    </w:p>
    <w:p w14:paraId="42E98D10"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“28. artikulua. Distantziak eta gehieneko neurriak.</w:t>
      </w:r>
    </w:p>
    <w:p w14:paraId="14D564CC"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Eritasunak zabaltzea eta horien ondorioak ekiditeko prebentzio neurri gisa:</w:t>
      </w:r>
    </w:p>
    <w:p w14:paraId="5988B29C"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1. Abeltegiek erregelamenduz ezartzen diren distantziak gordeko dituzte bai haien artean bai haietatik abere kontzentrazioko instalazioetara eta abereen osasunerako arriskutsuak diren beste jarduera batzuetara edo antzekoetara. Distantzia horiek finkatzeko, kontuan hartuko dira inguruabar geografikoak eta abere-espezieen ezaugarriak, ustiategiaren neurria, ustiategi mota eta arrisku epidemiologikoa.</w:t>
      </w:r>
    </w:p>
    <w:p w14:paraId="6C38F5F8"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 xml:space="preserve">2. Gehieneko neurri batzuk ezartzen dira abeltegietarako, ustiategi berrien edo orain daudenen handitzeen neurriak ez daitezen izan foru lege honen </w:t>
      </w:r>
      <w:r>
        <w:rPr>
          <w:rFonts w:asciiTheme="minorHAnsi" w:hAnsiTheme="minorHAnsi"/>
          <w:sz w:val="28"/>
        </w:rPr>
        <w:lastRenderedPageBreak/>
        <w:t>I. eranskinean ezartzen diren gehienekoak baino handiagoak”.</w:t>
      </w:r>
    </w:p>
    <w:p w14:paraId="60410921"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Bi. 39. artikuluaren 2. apartatua aldatzen da, eta testu hau izanen du aurrerantzean:</w:t>
      </w:r>
    </w:p>
    <w:p w14:paraId="3A080F54"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 xml:space="preserve">“2. Agintari eskudunak animalia hiltzea nahitaezkotzat deklaratuz gero, kalte-ordaina emanen da, indarrean dauden arau eta baremoen arabera. I. eranskinean ezarritako plaza-, </w:t>
      </w:r>
      <w:proofErr w:type="spellStart"/>
      <w:r>
        <w:rPr>
          <w:rFonts w:asciiTheme="minorHAnsi" w:hAnsiTheme="minorHAnsi"/>
          <w:sz w:val="28"/>
        </w:rPr>
        <w:t>AzLU</w:t>
      </w:r>
      <w:proofErr w:type="spellEnd"/>
      <w:r>
        <w:rPr>
          <w:rFonts w:asciiTheme="minorHAnsi" w:hAnsiTheme="minorHAnsi"/>
          <w:sz w:val="28"/>
        </w:rPr>
        <w:t>- edo abere-kopuruaren araberako kalte-ordaina emanen da gehienez”.</w:t>
      </w:r>
    </w:p>
    <w:p w14:paraId="6240E946"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Hiru. Bosgarren xedapen gehigarri bat gehitzen da, eta testu hau izanen du:</w:t>
      </w:r>
    </w:p>
    <w:p w14:paraId="6F420183"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“Bosgarren xedapen gehigarria. Ezarritako gehieneko mugak gainditzen dituzten ustiategiak.</w:t>
      </w:r>
    </w:p>
    <w:p w14:paraId="5240EBAF"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Abian dauden eta behitegien oinarrizko antolamendurako arauak ezartzen dituen abenduaren 27ko 1053/2022 Errege Dekretua indarrean jarri baino lehenagotik dekretu horretan ezarritako gehieneko ekoizpen-ahalmena baino handiagoa duten ustiategiek ahalmen horri eusten ahalko diote, baina ezin izanen dute handiagotu, inola ere. Ondorio horietarako, ustiategi horien indarreko ingurumen-baimenean jasotako gehieneko ahalmena hartuko da kontuan. Ezin izanen dute gehieneko neurri hori handitzea dakarren aldaketarik egin instalazioan, ez eta ekoizpenaren orientazioan ere”.</w:t>
      </w:r>
    </w:p>
    <w:p w14:paraId="1F9E8466"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Lau. Hirugarren xedapen iragankorra aldatzen da, eta testu hau izanen du aurrerantzean:</w:t>
      </w:r>
    </w:p>
    <w:p w14:paraId="1F49FF25"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"Hirugarren xedapen iragankorra. Izapidetan dauden espedienteen ebazpena.</w:t>
      </w:r>
    </w:p>
    <w:p w14:paraId="74CDE9DB"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1. 2022ko apirilaren 6a baino lehen aurkeztutako behitegien baimenei dagozkien espedienteei, administrazio-bidean ez bada horien gaineko ebazpen irmorik eman, behitegien oinarrizko antolamendurako arauak ezartzen dituen abenduaren 27ko 1053/2022 Errege Dekretuaren lehen xedapen iragankorrean xedatutakoa aplikatuko zaie.</w:t>
      </w:r>
    </w:p>
    <w:p w14:paraId="1A917856"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 xml:space="preserve">2. 2022ko apirilaren 6a baino beranduago aurkeztutako behitegien baimenei dagozkien espedienteei, administrazio-bidean ez bada horien gaineko ebazpen irmorik eman, foru lege honetan xedatutakoa aplikatuko zaie, eta, beraz, ezin izanen dituzte gainditu I. eranskinean finkatutako </w:t>
      </w:r>
      <w:r>
        <w:rPr>
          <w:rFonts w:asciiTheme="minorHAnsi" w:hAnsiTheme="minorHAnsi"/>
          <w:sz w:val="28"/>
        </w:rPr>
        <w:lastRenderedPageBreak/>
        <w:t>gehieneko neurriak”.</w:t>
      </w:r>
    </w:p>
    <w:p w14:paraId="59C245CB"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Bost. I. eranskin berri bat gehitzen da, testu honekin:</w:t>
      </w:r>
    </w:p>
    <w:p w14:paraId="0CFC72B0" w14:textId="77777777" w:rsidR="005B16F2" w:rsidRPr="00597F31" w:rsidRDefault="005B16F2" w:rsidP="005B16F2">
      <w:pPr>
        <w:pStyle w:val="Estilo"/>
        <w:spacing w:before="1" w:beforeAutospacing="1" w:after="1" w:afterAutospacing="1"/>
        <w:jc w:val="center"/>
        <w:rPr>
          <w:rFonts w:asciiTheme="minorHAnsi" w:hAnsiTheme="minorHAnsi" w:cstheme="minorHAnsi"/>
          <w:b/>
          <w:bCs/>
          <w:sz w:val="28"/>
          <w:szCs w:val="28"/>
        </w:rPr>
      </w:pPr>
      <w:r>
        <w:br w:type="page"/>
      </w:r>
      <w:r>
        <w:rPr>
          <w:rFonts w:asciiTheme="minorHAnsi" w:hAnsiTheme="minorHAnsi"/>
          <w:sz w:val="28"/>
        </w:rPr>
        <w:lastRenderedPageBreak/>
        <w:t>“</w:t>
      </w:r>
      <w:r>
        <w:rPr>
          <w:rFonts w:asciiTheme="minorHAnsi" w:hAnsiTheme="minorHAnsi"/>
          <w:b/>
          <w:sz w:val="28"/>
        </w:rPr>
        <w:t>I. eranskina</w:t>
      </w:r>
      <w:r>
        <w:rPr>
          <w:rFonts w:asciiTheme="minorHAnsi" w:hAnsiTheme="minorHAnsi"/>
          <w:b/>
          <w:sz w:val="28"/>
        </w:rPr>
        <w:br/>
        <w:t>Abeltegien gehieneko neurria (</w:t>
      </w:r>
      <w:proofErr w:type="spellStart"/>
      <w:r>
        <w:rPr>
          <w:rFonts w:asciiTheme="minorHAnsi" w:hAnsiTheme="minorHAnsi"/>
          <w:b/>
          <w:sz w:val="28"/>
        </w:rPr>
        <w:t>AzLU</w:t>
      </w:r>
      <w:proofErr w:type="spellEnd"/>
      <w:r>
        <w:rPr>
          <w:rFonts w:asciiTheme="minorHAnsi" w:hAnsiTheme="minorHAnsi"/>
          <w:b/>
          <w:sz w:val="28"/>
        </w:rPr>
        <w:t>- edo plaza-kopuruaren arabera)</w:t>
      </w:r>
    </w:p>
    <w:tbl>
      <w:tblPr>
        <w:tblW w:w="8637" w:type="dxa"/>
        <w:tblInd w:w="-5" w:type="dxa"/>
        <w:tblLayout w:type="fixed"/>
        <w:tblCellMar>
          <w:left w:w="0" w:type="dxa"/>
          <w:right w:w="0" w:type="dxa"/>
        </w:tblCellMar>
        <w:tblLook w:val="0000" w:firstRow="0" w:lastRow="0" w:firstColumn="0" w:lastColumn="0" w:noHBand="0" w:noVBand="0"/>
      </w:tblPr>
      <w:tblGrid>
        <w:gridCol w:w="4385"/>
        <w:gridCol w:w="4252"/>
      </w:tblGrid>
      <w:tr w:rsidR="005B16F2" w:rsidRPr="00597F31" w14:paraId="752B9890"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4BC879AB"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Txerri-ustiategien neurria </w:t>
            </w:r>
          </w:p>
        </w:tc>
        <w:tc>
          <w:tcPr>
            <w:tcW w:w="4252" w:type="dxa"/>
            <w:tcBorders>
              <w:top w:val="single" w:sz="4" w:space="0" w:color="auto"/>
              <w:left w:val="single" w:sz="4" w:space="0" w:color="auto"/>
              <w:bottom w:val="single" w:sz="4" w:space="0" w:color="auto"/>
              <w:right w:val="single" w:sz="4" w:space="0" w:color="auto"/>
            </w:tcBorders>
            <w:vAlign w:val="center"/>
          </w:tcPr>
          <w:p w14:paraId="64F063A5" w14:textId="77777777" w:rsidR="005B16F2" w:rsidRPr="00597F31" w:rsidRDefault="005B16F2" w:rsidP="00FD37C9">
            <w:pPr>
              <w:pStyle w:val="Estilo"/>
              <w:spacing w:before="40" w:after="40"/>
              <w:ind w:left="124"/>
              <w:rPr>
                <w:rFonts w:ascii="Calibri" w:hAnsi="Calibri" w:cs="Calibri"/>
                <w:sz w:val="28"/>
                <w:szCs w:val="28"/>
              </w:rPr>
            </w:pPr>
            <w:proofErr w:type="spellStart"/>
            <w:r>
              <w:rPr>
                <w:rFonts w:ascii="Calibri" w:hAnsi="Calibri"/>
                <w:sz w:val="28"/>
              </w:rPr>
              <w:t>AzLU</w:t>
            </w:r>
            <w:proofErr w:type="spellEnd"/>
            <w:r>
              <w:rPr>
                <w:rFonts w:ascii="Calibri" w:hAnsi="Calibri"/>
                <w:sz w:val="28"/>
              </w:rPr>
              <w:t xml:space="preserve"> (1) / plazak 864 </w:t>
            </w:r>
            <w:proofErr w:type="spellStart"/>
            <w:r>
              <w:rPr>
                <w:rFonts w:ascii="Calibri" w:hAnsi="Calibri"/>
                <w:sz w:val="28"/>
              </w:rPr>
              <w:t>AzLU</w:t>
            </w:r>
            <w:proofErr w:type="spellEnd"/>
            <w:r>
              <w:rPr>
                <w:rFonts w:ascii="Calibri" w:hAnsi="Calibri"/>
                <w:sz w:val="28"/>
              </w:rPr>
              <w:t xml:space="preserve"> </w:t>
            </w:r>
          </w:p>
        </w:tc>
      </w:tr>
      <w:tr w:rsidR="005B16F2" w:rsidRPr="00597F31" w14:paraId="462A968F"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2488D489" w14:textId="77777777" w:rsidR="005B16F2" w:rsidRPr="00597F31" w:rsidRDefault="005B16F2" w:rsidP="00FD37C9">
            <w:pPr>
              <w:pStyle w:val="Estilo"/>
              <w:spacing w:before="40" w:after="40"/>
              <w:ind w:left="119"/>
              <w:rPr>
                <w:rFonts w:ascii="Calibri" w:hAnsi="Calibri" w:cs="Calibri"/>
                <w:sz w:val="28"/>
                <w:szCs w:val="28"/>
              </w:rPr>
            </w:pPr>
            <w:proofErr w:type="spellStart"/>
            <w:r>
              <w:rPr>
                <w:rFonts w:ascii="Calibri" w:hAnsi="Calibri"/>
                <w:sz w:val="28"/>
              </w:rPr>
              <w:t>Broiler</w:t>
            </w:r>
            <w:proofErr w:type="spellEnd"/>
            <w:r>
              <w:rPr>
                <w:rFonts w:ascii="Calibri" w:hAnsi="Calibri"/>
                <w:sz w:val="28"/>
              </w:rPr>
              <w:t xml:space="preserve"> oilaskoak eta hegaztiak oro har </w:t>
            </w:r>
          </w:p>
        </w:tc>
        <w:tc>
          <w:tcPr>
            <w:tcW w:w="4252" w:type="dxa"/>
            <w:tcBorders>
              <w:top w:val="single" w:sz="4" w:space="0" w:color="auto"/>
              <w:left w:val="single" w:sz="4" w:space="0" w:color="auto"/>
              <w:bottom w:val="single" w:sz="4" w:space="0" w:color="auto"/>
              <w:right w:val="single" w:sz="4" w:space="0" w:color="auto"/>
            </w:tcBorders>
            <w:vAlign w:val="center"/>
          </w:tcPr>
          <w:p w14:paraId="304E47F0"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300.000 plaza </w:t>
            </w:r>
          </w:p>
        </w:tc>
      </w:tr>
      <w:tr w:rsidR="005B16F2" w:rsidRPr="00597F31" w14:paraId="7BE9E0EE"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ADEB3A7"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Arrautzetarako eta hazteko oiloak </w:t>
            </w:r>
          </w:p>
        </w:tc>
        <w:tc>
          <w:tcPr>
            <w:tcW w:w="4252" w:type="dxa"/>
            <w:tcBorders>
              <w:top w:val="single" w:sz="4" w:space="0" w:color="auto"/>
              <w:left w:val="single" w:sz="4" w:space="0" w:color="auto"/>
              <w:bottom w:val="single" w:sz="4" w:space="0" w:color="auto"/>
              <w:right w:val="single" w:sz="4" w:space="0" w:color="auto"/>
            </w:tcBorders>
            <w:vAlign w:val="center"/>
          </w:tcPr>
          <w:p w14:paraId="7C9F0759"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300.000 plaza </w:t>
            </w:r>
          </w:p>
        </w:tc>
      </w:tr>
      <w:tr w:rsidR="005B16F2" w:rsidRPr="00597F31" w14:paraId="1DC3736B"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667178D"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Ugalketarako oiloak eta haiek haztea </w:t>
            </w:r>
          </w:p>
        </w:tc>
        <w:tc>
          <w:tcPr>
            <w:tcW w:w="4252" w:type="dxa"/>
            <w:tcBorders>
              <w:top w:val="single" w:sz="4" w:space="0" w:color="auto"/>
              <w:left w:val="single" w:sz="4" w:space="0" w:color="auto"/>
              <w:bottom w:val="single" w:sz="4" w:space="0" w:color="auto"/>
              <w:right w:val="single" w:sz="4" w:space="0" w:color="auto"/>
            </w:tcBorders>
            <w:vAlign w:val="center"/>
          </w:tcPr>
          <w:p w14:paraId="4BFF5743"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60.000 plaza </w:t>
            </w:r>
          </w:p>
        </w:tc>
      </w:tr>
      <w:tr w:rsidR="005B16F2" w:rsidRPr="00597F31" w14:paraId="1B7777AB"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E2F8DAF"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Kanpora irteten diren hegaztiak </w:t>
            </w:r>
          </w:p>
        </w:tc>
        <w:tc>
          <w:tcPr>
            <w:tcW w:w="4252" w:type="dxa"/>
            <w:tcBorders>
              <w:top w:val="single" w:sz="4" w:space="0" w:color="auto"/>
              <w:left w:val="single" w:sz="4" w:space="0" w:color="auto"/>
              <w:bottom w:val="single" w:sz="4" w:space="0" w:color="auto"/>
              <w:right w:val="single" w:sz="4" w:space="0" w:color="auto"/>
            </w:tcBorders>
            <w:vAlign w:val="center"/>
          </w:tcPr>
          <w:p w14:paraId="315B6D28"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50.000 plaza </w:t>
            </w:r>
          </w:p>
        </w:tc>
      </w:tr>
      <w:tr w:rsidR="005B16F2" w:rsidRPr="00597F31" w14:paraId="2A6BFB7D"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1369052"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Galeperrak </w:t>
            </w:r>
          </w:p>
        </w:tc>
        <w:tc>
          <w:tcPr>
            <w:tcW w:w="4252" w:type="dxa"/>
            <w:tcBorders>
              <w:top w:val="single" w:sz="4" w:space="0" w:color="auto"/>
              <w:left w:val="single" w:sz="4" w:space="0" w:color="auto"/>
              <w:bottom w:val="single" w:sz="4" w:space="0" w:color="auto"/>
              <w:right w:val="single" w:sz="4" w:space="0" w:color="auto"/>
            </w:tcBorders>
            <w:vAlign w:val="center"/>
          </w:tcPr>
          <w:p w14:paraId="354B7248"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600.000 plaza </w:t>
            </w:r>
          </w:p>
        </w:tc>
      </w:tr>
      <w:tr w:rsidR="005B16F2" w:rsidRPr="00597F31" w14:paraId="63C4577F"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0B9BC141"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Esnetarako behiak </w:t>
            </w:r>
          </w:p>
        </w:tc>
        <w:tc>
          <w:tcPr>
            <w:tcW w:w="4252" w:type="dxa"/>
            <w:tcBorders>
              <w:top w:val="single" w:sz="4" w:space="0" w:color="auto"/>
              <w:left w:val="single" w:sz="4" w:space="0" w:color="auto"/>
              <w:bottom w:val="single" w:sz="4" w:space="0" w:color="auto"/>
              <w:right w:val="single" w:sz="4" w:space="0" w:color="auto"/>
            </w:tcBorders>
            <w:vAlign w:val="center"/>
          </w:tcPr>
          <w:p w14:paraId="7151A218"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850 </w:t>
            </w:r>
            <w:proofErr w:type="spellStart"/>
            <w:r>
              <w:rPr>
                <w:rFonts w:ascii="Calibri" w:hAnsi="Calibri"/>
                <w:sz w:val="28"/>
              </w:rPr>
              <w:t>AzLU</w:t>
            </w:r>
            <w:proofErr w:type="spellEnd"/>
            <w:r>
              <w:rPr>
                <w:rFonts w:ascii="Calibri" w:hAnsi="Calibri"/>
                <w:sz w:val="28"/>
              </w:rPr>
              <w:t xml:space="preserve"> </w:t>
            </w:r>
          </w:p>
        </w:tc>
      </w:tr>
      <w:tr w:rsidR="005B16F2" w:rsidRPr="00597F31" w14:paraId="427B99E3"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7E5D88D0"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Haragitarako behiak (2) </w:t>
            </w:r>
          </w:p>
        </w:tc>
        <w:tc>
          <w:tcPr>
            <w:tcW w:w="4252" w:type="dxa"/>
            <w:tcBorders>
              <w:top w:val="single" w:sz="4" w:space="0" w:color="auto"/>
              <w:left w:val="single" w:sz="4" w:space="0" w:color="auto"/>
              <w:bottom w:val="single" w:sz="4" w:space="0" w:color="auto"/>
              <w:right w:val="single" w:sz="4" w:space="0" w:color="auto"/>
            </w:tcBorders>
            <w:vAlign w:val="center"/>
          </w:tcPr>
          <w:p w14:paraId="6556800F"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850 </w:t>
            </w:r>
            <w:proofErr w:type="spellStart"/>
            <w:r>
              <w:rPr>
                <w:rFonts w:ascii="Calibri" w:hAnsi="Calibri"/>
                <w:sz w:val="28"/>
              </w:rPr>
              <w:t>AzLU</w:t>
            </w:r>
            <w:proofErr w:type="spellEnd"/>
            <w:r>
              <w:rPr>
                <w:rFonts w:ascii="Calibri" w:hAnsi="Calibri"/>
                <w:sz w:val="28"/>
              </w:rPr>
              <w:t xml:space="preserve"> </w:t>
            </w:r>
          </w:p>
        </w:tc>
      </w:tr>
      <w:tr w:rsidR="005B16F2" w:rsidRPr="00597F31" w14:paraId="1CB98BAC"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1ACB7C86"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Esnetarako ardi eta ahuntzak </w:t>
            </w:r>
          </w:p>
        </w:tc>
        <w:tc>
          <w:tcPr>
            <w:tcW w:w="4252" w:type="dxa"/>
            <w:tcBorders>
              <w:top w:val="single" w:sz="4" w:space="0" w:color="auto"/>
              <w:left w:val="single" w:sz="4" w:space="0" w:color="auto"/>
              <w:bottom w:val="single" w:sz="4" w:space="0" w:color="auto"/>
              <w:right w:val="single" w:sz="4" w:space="0" w:color="auto"/>
            </w:tcBorders>
            <w:vAlign w:val="center"/>
          </w:tcPr>
          <w:p w14:paraId="0B74D91B"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6.000 ugaltzaile edo 600 </w:t>
            </w:r>
            <w:proofErr w:type="spellStart"/>
            <w:r>
              <w:rPr>
                <w:rFonts w:ascii="Calibri" w:hAnsi="Calibri"/>
                <w:sz w:val="28"/>
              </w:rPr>
              <w:t>AzLU</w:t>
            </w:r>
            <w:proofErr w:type="spellEnd"/>
            <w:r>
              <w:rPr>
                <w:rFonts w:ascii="Calibri" w:hAnsi="Calibri"/>
                <w:sz w:val="28"/>
              </w:rPr>
              <w:t xml:space="preserve"> </w:t>
            </w:r>
          </w:p>
        </w:tc>
      </w:tr>
      <w:tr w:rsidR="005B16F2" w:rsidRPr="00597F31" w14:paraId="0A8921B6"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152FF511"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Haragitarako ardi eta ahuntzak </w:t>
            </w:r>
          </w:p>
        </w:tc>
        <w:tc>
          <w:tcPr>
            <w:tcW w:w="4252" w:type="dxa"/>
            <w:tcBorders>
              <w:top w:val="single" w:sz="4" w:space="0" w:color="auto"/>
              <w:left w:val="single" w:sz="4" w:space="0" w:color="auto"/>
              <w:bottom w:val="single" w:sz="4" w:space="0" w:color="auto"/>
              <w:right w:val="single" w:sz="4" w:space="0" w:color="auto"/>
            </w:tcBorders>
            <w:vAlign w:val="center"/>
          </w:tcPr>
          <w:p w14:paraId="6BD94DC3"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8.000 ugaltzaile edo 800 </w:t>
            </w:r>
            <w:proofErr w:type="spellStart"/>
            <w:r>
              <w:rPr>
                <w:rFonts w:ascii="Calibri" w:hAnsi="Calibri"/>
                <w:sz w:val="28"/>
              </w:rPr>
              <w:t>AzLU</w:t>
            </w:r>
            <w:proofErr w:type="spellEnd"/>
            <w:r>
              <w:rPr>
                <w:rFonts w:ascii="Calibri" w:hAnsi="Calibri"/>
                <w:sz w:val="28"/>
              </w:rPr>
              <w:t xml:space="preserve"> </w:t>
            </w:r>
          </w:p>
        </w:tc>
      </w:tr>
      <w:tr w:rsidR="005B16F2" w:rsidRPr="00597F31" w14:paraId="1C4EEB81"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49DEFDF0"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Zaldiak </w:t>
            </w:r>
          </w:p>
        </w:tc>
        <w:tc>
          <w:tcPr>
            <w:tcW w:w="4252" w:type="dxa"/>
            <w:tcBorders>
              <w:top w:val="single" w:sz="4" w:space="0" w:color="auto"/>
              <w:left w:val="single" w:sz="4" w:space="0" w:color="auto"/>
              <w:bottom w:val="single" w:sz="4" w:space="0" w:color="auto"/>
              <w:right w:val="single" w:sz="4" w:space="0" w:color="auto"/>
            </w:tcBorders>
            <w:vAlign w:val="center"/>
          </w:tcPr>
          <w:p w14:paraId="0AC0AA38"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1250 </w:t>
            </w:r>
            <w:proofErr w:type="spellStart"/>
            <w:r>
              <w:rPr>
                <w:rFonts w:ascii="Calibri" w:hAnsi="Calibri"/>
                <w:sz w:val="28"/>
              </w:rPr>
              <w:t>AzLU</w:t>
            </w:r>
            <w:proofErr w:type="spellEnd"/>
            <w:r>
              <w:rPr>
                <w:rFonts w:ascii="Calibri" w:hAnsi="Calibri"/>
                <w:sz w:val="28"/>
              </w:rPr>
              <w:t xml:space="preserve"> </w:t>
            </w:r>
          </w:p>
        </w:tc>
      </w:tr>
      <w:tr w:rsidR="005B16F2" w:rsidRPr="00597F31" w14:paraId="68537C8D"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1AAD8071"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Untxiak </w:t>
            </w:r>
          </w:p>
        </w:tc>
        <w:tc>
          <w:tcPr>
            <w:tcW w:w="4252" w:type="dxa"/>
            <w:tcBorders>
              <w:top w:val="single" w:sz="4" w:space="0" w:color="auto"/>
              <w:left w:val="single" w:sz="4" w:space="0" w:color="auto"/>
              <w:bottom w:val="single" w:sz="4" w:space="0" w:color="auto"/>
              <w:right w:val="single" w:sz="4" w:space="0" w:color="auto"/>
            </w:tcBorders>
            <w:vAlign w:val="center"/>
          </w:tcPr>
          <w:p w14:paraId="0D253AF5"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600 </w:t>
            </w:r>
            <w:proofErr w:type="spellStart"/>
            <w:r>
              <w:rPr>
                <w:rFonts w:ascii="Calibri" w:hAnsi="Calibri"/>
                <w:sz w:val="28"/>
              </w:rPr>
              <w:t>AzLU</w:t>
            </w:r>
            <w:proofErr w:type="spellEnd"/>
            <w:r>
              <w:rPr>
                <w:rFonts w:ascii="Calibri" w:hAnsi="Calibri"/>
                <w:sz w:val="28"/>
              </w:rPr>
              <w:t xml:space="preserve"> </w:t>
            </w:r>
          </w:p>
        </w:tc>
      </w:tr>
      <w:tr w:rsidR="005B16F2" w:rsidRPr="00597F31" w14:paraId="79BC1234"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5DE2C39"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Erleen kokalekua (3) </w:t>
            </w:r>
          </w:p>
        </w:tc>
        <w:tc>
          <w:tcPr>
            <w:tcW w:w="4252" w:type="dxa"/>
            <w:tcBorders>
              <w:top w:val="single" w:sz="4" w:space="0" w:color="auto"/>
              <w:left w:val="single" w:sz="4" w:space="0" w:color="auto"/>
              <w:bottom w:val="single" w:sz="4" w:space="0" w:color="auto"/>
              <w:right w:val="single" w:sz="4" w:space="0" w:color="auto"/>
            </w:tcBorders>
            <w:vAlign w:val="center"/>
          </w:tcPr>
          <w:p w14:paraId="17538257"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200 erlauntza </w:t>
            </w:r>
          </w:p>
        </w:tc>
      </w:tr>
      <w:tr w:rsidR="005B16F2" w:rsidRPr="00597F31" w14:paraId="5C19E069" w14:textId="77777777" w:rsidTr="005B16F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3F13437C" w14:textId="77777777" w:rsidR="005B16F2" w:rsidRPr="00597F31" w:rsidRDefault="005B16F2" w:rsidP="00FD37C9">
            <w:pPr>
              <w:pStyle w:val="Estilo"/>
              <w:spacing w:before="40" w:after="40"/>
              <w:ind w:left="119"/>
              <w:rPr>
                <w:rFonts w:ascii="Calibri" w:hAnsi="Calibri" w:cs="Calibri"/>
                <w:sz w:val="28"/>
                <w:szCs w:val="28"/>
              </w:rPr>
            </w:pPr>
            <w:r>
              <w:rPr>
                <w:rFonts w:ascii="Calibri" w:hAnsi="Calibri"/>
                <w:sz w:val="28"/>
              </w:rPr>
              <w:t xml:space="preserve">Espezie bat baino gehiago dituzten ustiategiak </w:t>
            </w:r>
          </w:p>
        </w:tc>
        <w:tc>
          <w:tcPr>
            <w:tcW w:w="4252" w:type="dxa"/>
            <w:tcBorders>
              <w:top w:val="single" w:sz="4" w:space="0" w:color="auto"/>
              <w:left w:val="single" w:sz="4" w:space="0" w:color="auto"/>
              <w:bottom w:val="single" w:sz="4" w:space="0" w:color="auto"/>
              <w:right w:val="single" w:sz="4" w:space="0" w:color="auto"/>
            </w:tcBorders>
            <w:vAlign w:val="center"/>
          </w:tcPr>
          <w:p w14:paraId="6110C9C8" w14:textId="77777777" w:rsidR="005B16F2" w:rsidRPr="00597F31" w:rsidRDefault="005B16F2" w:rsidP="00FD37C9">
            <w:pPr>
              <w:pStyle w:val="Estilo"/>
              <w:spacing w:before="40" w:after="40"/>
              <w:ind w:left="124"/>
              <w:rPr>
                <w:rFonts w:ascii="Calibri" w:hAnsi="Calibri" w:cs="Calibri"/>
                <w:sz w:val="28"/>
                <w:szCs w:val="28"/>
              </w:rPr>
            </w:pPr>
            <w:r>
              <w:rPr>
                <w:rFonts w:ascii="Calibri" w:hAnsi="Calibri"/>
                <w:sz w:val="28"/>
              </w:rPr>
              <w:t xml:space="preserve">1250 </w:t>
            </w:r>
            <w:proofErr w:type="spellStart"/>
            <w:r>
              <w:rPr>
                <w:rFonts w:ascii="Calibri" w:hAnsi="Calibri"/>
                <w:sz w:val="28"/>
              </w:rPr>
              <w:t>AzLU</w:t>
            </w:r>
            <w:proofErr w:type="spellEnd"/>
            <w:r>
              <w:rPr>
                <w:rFonts w:ascii="Calibri" w:hAnsi="Calibri"/>
                <w:sz w:val="28"/>
              </w:rPr>
              <w:t xml:space="preserve"> </w:t>
            </w:r>
          </w:p>
        </w:tc>
      </w:tr>
    </w:tbl>
    <w:p w14:paraId="5C25A822" w14:textId="77777777" w:rsidR="005B16F2" w:rsidRDefault="005B16F2" w:rsidP="005B16F2">
      <w:pPr>
        <w:pStyle w:val="Estilo"/>
        <w:ind w:left="283" w:right="-284" w:hanging="340"/>
        <w:rPr>
          <w:rFonts w:ascii="Calibri" w:hAnsi="Calibri" w:cs="Calibri"/>
          <w:i/>
          <w:iCs/>
        </w:rPr>
      </w:pPr>
      <w:r>
        <w:rPr>
          <w:rFonts w:ascii="Calibri" w:hAnsi="Calibri"/>
          <w:i/>
        </w:rPr>
        <w:t xml:space="preserve">(1) </w:t>
      </w:r>
      <w:proofErr w:type="spellStart"/>
      <w:r>
        <w:rPr>
          <w:rFonts w:ascii="Calibri" w:hAnsi="Calibri"/>
          <w:i/>
        </w:rPr>
        <w:t>AzLU</w:t>
      </w:r>
      <w:proofErr w:type="spellEnd"/>
      <w:r>
        <w:rPr>
          <w:rFonts w:ascii="Calibri" w:hAnsi="Calibri"/>
          <w:i/>
        </w:rPr>
        <w:t xml:space="preserve">. Koadro honetako </w:t>
      </w:r>
      <w:proofErr w:type="spellStart"/>
      <w:r>
        <w:rPr>
          <w:rFonts w:ascii="Calibri" w:hAnsi="Calibri"/>
          <w:i/>
        </w:rPr>
        <w:t>AzLUak</w:t>
      </w:r>
      <w:proofErr w:type="spellEnd"/>
      <w:r>
        <w:rPr>
          <w:rFonts w:ascii="Calibri" w:hAnsi="Calibri"/>
          <w:i/>
        </w:rPr>
        <w:t xml:space="preserve"> kalkulatzeko, aintzat hartuko dira 31/2019 Foru Dekretuaren 1. eranskineko </w:t>
      </w:r>
      <w:proofErr w:type="spellStart"/>
      <w:r>
        <w:rPr>
          <w:rFonts w:ascii="Calibri" w:hAnsi="Calibri"/>
          <w:i/>
        </w:rPr>
        <w:t>AzLUen</w:t>
      </w:r>
      <w:proofErr w:type="spellEnd"/>
      <w:r>
        <w:rPr>
          <w:rFonts w:ascii="Calibri" w:hAnsi="Calibri"/>
          <w:i/>
        </w:rPr>
        <w:t xml:space="preserve"> baliokidetzak</w:t>
      </w:r>
    </w:p>
    <w:p w14:paraId="3FB3BB94" w14:textId="7C2CC244" w:rsidR="005B16F2" w:rsidRPr="00597F31" w:rsidRDefault="005B16F2" w:rsidP="005B16F2">
      <w:pPr>
        <w:pStyle w:val="Estilo"/>
        <w:ind w:left="283" w:right="-284" w:hanging="340"/>
        <w:rPr>
          <w:rFonts w:ascii="Calibri" w:hAnsi="Calibri" w:cs="Calibri"/>
          <w:i/>
          <w:iCs/>
        </w:rPr>
      </w:pPr>
      <w:r>
        <w:rPr>
          <w:rFonts w:ascii="Calibri" w:hAnsi="Calibri"/>
          <w:i/>
        </w:rPr>
        <w:t>(2) Zezenketetarako aziendaren ustiategiak barne</w:t>
      </w:r>
    </w:p>
    <w:p w14:paraId="6D2FF135" w14:textId="77777777" w:rsidR="005B16F2" w:rsidRPr="00597F31" w:rsidRDefault="005B16F2" w:rsidP="005B16F2">
      <w:pPr>
        <w:spacing w:line="240" w:lineRule="auto"/>
        <w:ind w:left="283" w:right="-284" w:hanging="340"/>
        <w:rPr>
          <w:i/>
          <w:iCs/>
          <w:sz w:val="24"/>
          <w:szCs w:val="24"/>
        </w:rPr>
      </w:pPr>
      <w:r>
        <w:rPr>
          <w:i/>
          <w:sz w:val="24"/>
        </w:rPr>
        <w:t>(3) Gehieneko neurriak erleen kokalekuenak dira, baina ustiategi batek berak kokaleku bat baino gehiago izan ditzake”.</w:t>
      </w:r>
    </w:p>
    <w:p w14:paraId="6345734A" w14:textId="77777777" w:rsidR="005B16F2" w:rsidRDefault="005B16F2" w:rsidP="005B16F2">
      <w:pPr>
        <w:pStyle w:val="Estilo"/>
        <w:spacing w:before="1" w:beforeAutospacing="1" w:after="1" w:afterAutospacing="1"/>
        <w:rPr>
          <w:rFonts w:asciiTheme="minorHAnsi" w:hAnsiTheme="minorHAnsi" w:cstheme="minorHAnsi"/>
          <w:sz w:val="28"/>
          <w:szCs w:val="28"/>
        </w:rPr>
      </w:pPr>
      <w:r>
        <w:rPr>
          <w:rFonts w:asciiTheme="minorHAnsi" w:hAnsiTheme="minorHAnsi"/>
          <w:sz w:val="28"/>
        </w:rPr>
        <w:t>Azken xedapena. Indarra hartzea.</w:t>
      </w:r>
    </w:p>
    <w:p w14:paraId="30C7E30A" w14:textId="7AE59C4D" w:rsidR="005B16F2" w:rsidRPr="005B16F2" w:rsidRDefault="005B16F2" w:rsidP="005B16F2">
      <w:pPr>
        <w:pStyle w:val="Estilo"/>
        <w:spacing w:before="1" w:beforeAutospacing="1" w:after="1" w:afterAutospacing="1"/>
      </w:pPr>
      <w:r>
        <w:rPr>
          <w:rFonts w:asciiTheme="minorHAnsi" w:hAnsiTheme="minorHAnsi"/>
          <w:sz w:val="28"/>
        </w:rPr>
        <w:t>Foru lege honek Nafarroako Aldizkari Ofizialean argitara eman eta biharamunean hartuko du indarra.</w:t>
      </w:r>
    </w:p>
    <w:sectPr w:rsidR="005B16F2" w:rsidRPr="005B16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F2"/>
    <w:rsid w:val="000C3B95"/>
    <w:rsid w:val="005B16F2"/>
    <w:rsid w:val="007D3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0201"/>
  <w15:chartTrackingRefBased/>
  <w15:docId w15:val="{76B87A22-130D-4821-AD96-4FCC80DE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F2"/>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B16F2"/>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1423</Words>
  <Characters>7832</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3</cp:revision>
  <dcterms:created xsi:type="dcterms:W3CDTF">2023-01-16T13:13:00Z</dcterms:created>
  <dcterms:modified xsi:type="dcterms:W3CDTF">2023-01-16T13:13:00Z</dcterms:modified>
</cp:coreProperties>
</file>