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5DF1" w14:textId="77777777" w:rsidR="00924A55" w:rsidRDefault="00E3284B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2023ko </w:t>
      </w:r>
      <w:proofErr w:type="spellStart"/>
      <w:r>
        <w:rPr>
          <w:rStyle w:val="Normal1"/>
        </w:rPr>
        <w:t>urtarrilaren</w:t>
      </w:r>
      <w:proofErr w:type="spellEnd"/>
      <w:r>
        <w:rPr>
          <w:rStyle w:val="Normal1"/>
        </w:rPr>
        <w:t xml:space="preserve"> 30ean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erabakia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14:paraId="7468AA95" w14:textId="77777777" w:rsidR="00924A55" w:rsidRDefault="00E3284B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EH Bildu Nafarroa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</w:t>
      </w:r>
      <w:r>
        <w:rPr>
          <w:rStyle w:val="Normal1"/>
        </w:rPr>
        <w:t>dez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premiatzen</w:t>
      </w:r>
      <w:proofErr w:type="spellEnd"/>
      <w:r>
        <w:rPr>
          <w:rStyle w:val="Normal1"/>
        </w:rPr>
        <w:t xml:space="preserve"> baita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ditzan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musika-ikasketa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kanpo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ikasleen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ekitatea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aukera-berdintasuna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bermatzeko</w:t>
      </w:r>
      <w:proofErr w:type="spellEnd"/>
      <w:r>
        <w:rPr>
          <w:rStyle w:val="Normal1"/>
        </w:rPr>
        <w:t>.</w:t>
      </w:r>
    </w:p>
    <w:p w14:paraId="6E6513A2" w14:textId="77777777" w:rsidR="00924A55" w:rsidRDefault="00E3284B">
      <w:pPr>
        <w:rPr>
          <w:rStyle w:val="Normal1"/>
        </w:rPr>
      </w:pPr>
      <w:r>
        <w:rPr>
          <w:rStyle w:val="Normal1"/>
          <w:b/>
        </w:rPr>
        <w:t>2.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</w:t>
      </w:r>
      <w:r>
        <w:rPr>
          <w:rStyle w:val="Normal1"/>
        </w:rPr>
        <w:t>intzea</w:t>
      </w:r>
      <w:proofErr w:type="spellEnd"/>
      <w:r>
        <w:rPr>
          <w:rStyle w:val="Normal1"/>
        </w:rPr>
        <w:t>.</w:t>
      </w:r>
    </w:p>
    <w:p w14:paraId="36AF1148" w14:textId="77777777" w:rsidR="00924A55" w:rsidRDefault="00E3284B">
      <w:pPr>
        <w:rPr>
          <w:rStyle w:val="Normal1"/>
        </w:rPr>
      </w:pPr>
      <w:r>
        <w:rPr>
          <w:rStyle w:val="Normal1"/>
          <w:b/>
        </w:rPr>
        <w:t xml:space="preserve">3.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izapidetzea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zuzenketak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bukatzea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bilkura-egunaren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eguerdiko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hamabietan</w:t>
      </w:r>
      <w:proofErr w:type="spellEnd"/>
      <w:r>
        <w:rPr>
          <w:rStyle w:val="Normal1"/>
        </w:rPr>
        <w:t>.</w:t>
      </w:r>
    </w:p>
    <w:p w14:paraId="7536D27E" w14:textId="77777777" w:rsidR="00924A55" w:rsidRDefault="00E3284B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2023ko </w:t>
      </w:r>
      <w:proofErr w:type="spellStart"/>
      <w:r>
        <w:rPr>
          <w:rStyle w:val="Normal1"/>
        </w:rPr>
        <w:t>urtarrilaren</w:t>
      </w:r>
      <w:proofErr w:type="spellEnd"/>
      <w:r>
        <w:rPr>
          <w:rStyle w:val="Normal1"/>
        </w:rPr>
        <w:t xml:space="preserve"> 30ean</w:t>
      </w:r>
    </w:p>
    <w:p w14:paraId="533615B9" w14:textId="77777777" w:rsidR="00924A55" w:rsidRDefault="00E3284B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>: Unai Hualde Iglesias</w:t>
      </w:r>
    </w:p>
    <w:p w14:paraId="5CEC2E0D" w14:textId="77777777" w:rsidR="00924A55" w:rsidRPr="00E3284B" w:rsidRDefault="00E3284B">
      <w:pPr>
        <w:pStyle w:val="Lcaptulo"/>
        <w:rPr>
          <w:lang w:val="es-ES"/>
        </w:rPr>
      </w:pPr>
      <w:r w:rsidRPr="00E3284B">
        <w:rPr>
          <w:lang w:val="es-ES"/>
        </w:rPr>
        <w:t>MOZIOAREN TESTUA</w:t>
      </w:r>
    </w:p>
    <w:p w14:paraId="6BAF8C60" w14:textId="77777777" w:rsidR="00924A55" w:rsidRDefault="00E3284B">
      <w:pPr>
        <w:rPr>
          <w:rStyle w:val="Normal1"/>
        </w:rPr>
      </w:pPr>
      <w:r>
        <w:rPr>
          <w:rStyle w:val="Normal1"/>
        </w:rPr>
        <w:t>Bakart</w:t>
      </w:r>
      <w:r>
        <w:rPr>
          <w:rStyle w:val="Normal1"/>
        </w:rPr>
        <w:t xml:space="preserve">xo Ruiz Jaso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, EH Bildu Nafarroa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bozeramaile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jarraiki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ondoko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mozioa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Hezkuntza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eztabaida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bozka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>.</w:t>
      </w:r>
    </w:p>
    <w:p w14:paraId="48A92F0B" w14:textId="77777777" w:rsidR="00924A55" w:rsidRDefault="00E3284B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hainbat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herritako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musika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eskolatatik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musika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</w:t>
      </w:r>
      <w:r>
        <w:rPr>
          <w:rStyle w:val="Normal1"/>
        </w:rPr>
        <w:t>asketa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kanpo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doazen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hainbat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ikasle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ditugu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lruñerako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distantzia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geografikoaren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eraginez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Berakoek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baterako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askoz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gertuago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daukate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lrungo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Kontserbatorioa</w:t>
      </w:r>
      <w:proofErr w:type="spellEnd"/>
      <w:r>
        <w:rPr>
          <w:rStyle w:val="Normal1"/>
        </w:rPr>
        <w:t xml:space="preserve"> Sarasate </w:t>
      </w:r>
      <w:proofErr w:type="spellStart"/>
      <w:r>
        <w:rPr>
          <w:rStyle w:val="Normal1"/>
        </w:rPr>
        <w:t>Kontserbatorio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Mailako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Musika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Kontserbatorioa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baino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Afera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tasak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askoz</w:t>
      </w:r>
      <w:proofErr w:type="spellEnd"/>
      <w:r>
        <w:rPr>
          <w:rStyle w:val="Normal1"/>
        </w:rPr>
        <w:t xml:space="preserve"> ere </w:t>
      </w:r>
      <w:proofErr w:type="spellStart"/>
      <w:r>
        <w:rPr>
          <w:rStyle w:val="Normal1"/>
        </w:rPr>
        <w:t>altuagoak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kanpoko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kontserbatorioetan</w:t>
      </w:r>
      <w:proofErr w:type="spellEnd"/>
      <w:r>
        <w:rPr>
          <w:rStyle w:val="Normal1"/>
        </w:rPr>
        <w:t xml:space="preserve">, eta oso </w:t>
      </w:r>
      <w:proofErr w:type="spellStart"/>
      <w:r>
        <w:rPr>
          <w:rStyle w:val="Normal1"/>
        </w:rPr>
        <w:t>garesti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ateratzen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zaiela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ikasle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ikasketekin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jarraitzea</w:t>
      </w:r>
      <w:proofErr w:type="spellEnd"/>
      <w:r>
        <w:rPr>
          <w:rStyle w:val="Normal1"/>
        </w:rPr>
        <w:t>.</w:t>
      </w:r>
    </w:p>
    <w:p w14:paraId="1D7E8FB1" w14:textId="77777777" w:rsidR="00924A55" w:rsidRDefault="00E3284B">
      <w:pPr>
        <w:rPr>
          <w:rStyle w:val="Normal1"/>
        </w:rPr>
      </w:pPr>
      <w:proofErr w:type="spellStart"/>
      <w:r>
        <w:rPr>
          <w:rStyle w:val="Normal1"/>
        </w:rPr>
        <w:t>Hezkuntza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Departamentuari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</w:t>
      </w:r>
      <w:r>
        <w:rPr>
          <w:rStyle w:val="Normal1"/>
        </w:rPr>
        <w:t>paraketa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kanpoko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gertueneko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kontserbatorioen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artean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adibidea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ematen</w:t>
      </w:r>
      <w:proofErr w:type="spellEnd"/>
      <w:r>
        <w:rPr>
          <w:rStyle w:val="Normal1"/>
        </w:rPr>
        <w:t xml:space="preserve"> da:</w:t>
      </w:r>
    </w:p>
    <w:p w14:paraId="53AA7BAE" w14:textId="77777777" w:rsidR="00E3284B" w:rsidRDefault="00E3284B">
      <w:pPr>
        <w:rPr>
          <w:rStyle w:val="Normal1"/>
        </w:rPr>
      </w:pPr>
      <w:proofErr w:type="spellStart"/>
      <w:r>
        <w:rPr>
          <w:rStyle w:val="Normal1"/>
        </w:rPr>
        <w:t>Aipatu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kontserbatorioetan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pianoko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ikasketa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profesionalak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kostuaren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eredua</w:t>
      </w:r>
      <w:proofErr w:type="spellEnd"/>
      <w:r>
        <w:rPr>
          <w:rStyle w:val="Normal1"/>
        </w:rPr>
        <w:t xml:space="preserve"> (1. </w:t>
      </w:r>
      <w:proofErr w:type="spellStart"/>
      <w:r>
        <w:rPr>
          <w:rStyle w:val="Normal1"/>
        </w:rPr>
        <w:t>kasuan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ikasgaiez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gain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espediente-irekiera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sartze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froga </w:t>
      </w:r>
      <w:proofErr w:type="spellStart"/>
      <w:r>
        <w:rPr>
          <w:rStyle w:val="Normal1"/>
        </w:rPr>
        <w:t>batzen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dira</w:t>
      </w:r>
      <w:proofErr w:type="spellEnd"/>
      <w:r>
        <w:rPr>
          <w:rStyle w:val="Normal1"/>
        </w:rPr>
        <w:t xml:space="preserve"> ere).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1708"/>
        <w:gridCol w:w="1769"/>
        <w:gridCol w:w="1741"/>
        <w:gridCol w:w="1783"/>
      </w:tblGrid>
      <w:tr w:rsidR="00E3284B" w:rsidRPr="00593C2B" w14:paraId="37F960C6" w14:textId="77777777" w:rsidTr="00317315">
        <w:trPr>
          <w:jc w:val="center"/>
        </w:trPr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57B0E1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8C72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Iruñea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9AF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proofErr w:type="spellStart"/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Tarazona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883A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Irun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D10B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Calahorra</w:t>
            </w:r>
          </w:p>
        </w:tc>
      </w:tr>
      <w:tr w:rsidR="00E3284B" w:rsidRPr="00593C2B" w14:paraId="6506FA09" w14:textId="77777777" w:rsidTr="00317315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2543C" w14:textId="77777777" w:rsidR="00E3284B" w:rsidRPr="00593C2B" w:rsidRDefault="00E3284B" w:rsidP="00317315">
            <w:pPr>
              <w:pStyle w:val="Estilo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Kostua 1. maila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7566667F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259 €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74771B22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306 €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vAlign w:val="center"/>
          </w:tcPr>
          <w:p w14:paraId="1858D114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1379, 15 € </w:t>
            </w:r>
          </w:p>
        </w:tc>
        <w:tc>
          <w:tcPr>
            <w:tcW w:w="22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59AB22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285, 16 € </w:t>
            </w:r>
          </w:p>
        </w:tc>
      </w:tr>
      <w:tr w:rsidR="00E3284B" w:rsidRPr="00593C2B" w14:paraId="31E4964E" w14:textId="77777777" w:rsidTr="00317315">
        <w:trPr>
          <w:jc w:val="center"/>
        </w:trPr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14:paraId="57B31E6F" w14:textId="77777777" w:rsidR="00E3284B" w:rsidRPr="00593C2B" w:rsidRDefault="00E3284B" w:rsidP="00317315">
            <w:pPr>
              <w:pStyle w:val="Estilo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="Calibri" w:hAnsi="Calibri" w:cs="Calibri"/>
                <w:sz w:val="18"/>
                <w:szCs w:val="18"/>
                <w:lang w:val="eu-ES"/>
              </w:rPr>
              <w:t>Kostua 2. maila</w:t>
            </w:r>
          </w:p>
        </w:tc>
        <w:tc>
          <w:tcPr>
            <w:tcW w:w="2264" w:type="dxa"/>
            <w:vAlign w:val="center"/>
          </w:tcPr>
          <w:p w14:paraId="0DA36923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211,2 € </w:t>
            </w:r>
          </w:p>
        </w:tc>
        <w:tc>
          <w:tcPr>
            <w:tcW w:w="2264" w:type="dxa"/>
            <w:vAlign w:val="center"/>
          </w:tcPr>
          <w:p w14:paraId="51050AE7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236 € </w:t>
            </w:r>
          </w:p>
        </w:tc>
        <w:tc>
          <w:tcPr>
            <w:tcW w:w="2264" w:type="dxa"/>
            <w:vAlign w:val="center"/>
          </w:tcPr>
          <w:p w14:paraId="498019AF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1326,95 € 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52661947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221, 72 € </w:t>
            </w:r>
          </w:p>
        </w:tc>
      </w:tr>
      <w:tr w:rsidR="00E3284B" w:rsidRPr="00593C2B" w14:paraId="05B50B79" w14:textId="77777777" w:rsidTr="00317315">
        <w:trPr>
          <w:jc w:val="center"/>
        </w:trPr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14:paraId="2966FC30" w14:textId="77777777" w:rsidR="00E3284B" w:rsidRPr="00593C2B" w:rsidRDefault="00E3284B" w:rsidP="00317315">
            <w:pPr>
              <w:pStyle w:val="Estilo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Kostua 3. maila</w:t>
            </w:r>
          </w:p>
        </w:tc>
        <w:tc>
          <w:tcPr>
            <w:tcW w:w="2264" w:type="dxa"/>
            <w:vAlign w:val="center"/>
          </w:tcPr>
          <w:p w14:paraId="6EE58CB6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158,4 € </w:t>
            </w:r>
          </w:p>
        </w:tc>
        <w:tc>
          <w:tcPr>
            <w:tcW w:w="2264" w:type="dxa"/>
            <w:vAlign w:val="center"/>
          </w:tcPr>
          <w:p w14:paraId="775402B2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177 € </w:t>
            </w:r>
          </w:p>
        </w:tc>
        <w:tc>
          <w:tcPr>
            <w:tcW w:w="2264" w:type="dxa"/>
            <w:vAlign w:val="center"/>
          </w:tcPr>
          <w:p w14:paraId="6CF86C1C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1450, 70 € 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11585B58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166.29 € </w:t>
            </w:r>
          </w:p>
        </w:tc>
      </w:tr>
      <w:tr w:rsidR="00E3284B" w:rsidRPr="00593C2B" w14:paraId="21C808F8" w14:textId="77777777" w:rsidTr="00317315">
        <w:trPr>
          <w:jc w:val="center"/>
        </w:trPr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14:paraId="0D85E5E5" w14:textId="77777777" w:rsidR="00E3284B" w:rsidRPr="00593C2B" w:rsidRDefault="00E3284B" w:rsidP="00317315">
            <w:pPr>
              <w:pStyle w:val="Estilo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="Calibri" w:hAnsi="Calibri" w:cs="Calibri"/>
                <w:sz w:val="18"/>
                <w:szCs w:val="18"/>
                <w:lang w:val="eu-ES"/>
              </w:rPr>
              <w:t>Kostua 4. maila</w:t>
            </w:r>
          </w:p>
        </w:tc>
        <w:tc>
          <w:tcPr>
            <w:tcW w:w="2264" w:type="dxa"/>
            <w:vAlign w:val="center"/>
          </w:tcPr>
          <w:p w14:paraId="64D139DC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211,2 € </w:t>
            </w:r>
          </w:p>
        </w:tc>
        <w:tc>
          <w:tcPr>
            <w:tcW w:w="2264" w:type="dxa"/>
            <w:vAlign w:val="center"/>
          </w:tcPr>
          <w:p w14:paraId="49A5AB8D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177 € </w:t>
            </w:r>
          </w:p>
        </w:tc>
        <w:tc>
          <w:tcPr>
            <w:tcW w:w="2264" w:type="dxa"/>
            <w:vAlign w:val="center"/>
          </w:tcPr>
          <w:p w14:paraId="73B31903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1450, 70 € 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38D36B4C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166,29 € </w:t>
            </w:r>
          </w:p>
        </w:tc>
      </w:tr>
      <w:tr w:rsidR="00E3284B" w:rsidRPr="00593C2B" w14:paraId="7A271750" w14:textId="77777777" w:rsidTr="00317315">
        <w:trPr>
          <w:jc w:val="center"/>
        </w:trPr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14:paraId="120CDB14" w14:textId="77777777" w:rsidR="00E3284B" w:rsidRPr="00593C2B" w:rsidRDefault="00E3284B" w:rsidP="00317315">
            <w:pPr>
              <w:pStyle w:val="Estilo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>Kostua 5. maila</w:t>
            </w:r>
          </w:p>
        </w:tc>
        <w:tc>
          <w:tcPr>
            <w:tcW w:w="2264" w:type="dxa"/>
            <w:vAlign w:val="center"/>
          </w:tcPr>
          <w:p w14:paraId="123D3E99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316,8 € </w:t>
            </w:r>
          </w:p>
        </w:tc>
        <w:tc>
          <w:tcPr>
            <w:tcW w:w="2264" w:type="dxa"/>
            <w:vAlign w:val="center"/>
          </w:tcPr>
          <w:p w14:paraId="52972D20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354 € </w:t>
            </w:r>
          </w:p>
        </w:tc>
        <w:tc>
          <w:tcPr>
            <w:tcW w:w="2264" w:type="dxa"/>
            <w:vAlign w:val="center"/>
          </w:tcPr>
          <w:p w14:paraId="0CAB11A6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1607,25 € 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19D0CBCC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332,58 € </w:t>
            </w:r>
          </w:p>
        </w:tc>
      </w:tr>
      <w:tr w:rsidR="00E3284B" w:rsidRPr="00593C2B" w14:paraId="698E0182" w14:textId="77777777" w:rsidTr="00317315">
        <w:trPr>
          <w:jc w:val="center"/>
        </w:trPr>
        <w:tc>
          <w:tcPr>
            <w:tcW w:w="2264" w:type="dxa"/>
            <w:tcBorders>
              <w:left w:val="single" w:sz="4" w:space="0" w:color="auto"/>
            </w:tcBorders>
            <w:vAlign w:val="center"/>
          </w:tcPr>
          <w:p w14:paraId="48B65FD5" w14:textId="77777777" w:rsidR="00E3284B" w:rsidRPr="00593C2B" w:rsidRDefault="00E3284B" w:rsidP="00317315">
            <w:pPr>
              <w:pStyle w:val="Estilo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="Calibri" w:hAnsi="Calibri" w:cs="Calibri"/>
                <w:sz w:val="18"/>
                <w:szCs w:val="18"/>
                <w:lang w:val="eu-ES"/>
              </w:rPr>
              <w:t>Kostua 6. maila</w:t>
            </w:r>
          </w:p>
        </w:tc>
        <w:tc>
          <w:tcPr>
            <w:tcW w:w="2264" w:type="dxa"/>
            <w:vAlign w:val="center"/>
          </w:tcPr>
          <w:p w14:paraId="17874D51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264 € </w:t>
            </w:r>
          </w:p>
        </w:tc>
        <w:tc>
          <w:tcPr>
            <w:tcW w:w="2264" w:type="dxa"/>
            <w:vAlign w:val="center"/>
          </w:tcPr>
          <w:p w14:paraId="3CADD539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354 € </w:t>
            </w:r>
          </w:p>
        </w:tc>
        <w:tc>
          <w:tcPr>
            <w:tcW w:w="2264" w:type="dxa"/>
            <w:vAlign w:val="center"/>
          </w:tcPr>
          <w:p w14:paraId="73D9B968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1607,25 € 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02AAB27C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332,58 € </w:t>
            </w:r>
          </w:p>
        </w:tc>
      </w:tr>
      <w:tr w:rsidR="00E3284B" w:rsidRPr="00593C2B" w14:paraId="3272FC95" w14:textId="77777777" w:rsidTr="00317315">
        <w:trPr>
          <w:jc w:val="center"/>
        </w:trPr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DCB67E" w14:textId="77777777" w:rsidR="00E3284B" w:rsidRPr="00593C2B" w:rsidRDefault="00E3284B" w:rsidP="00317315">
            <w:pPr>
              <w:pStyle w:val="Estilo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Guztira 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3951B739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1420,6 € 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0EEEC912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1604 € 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79A47653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8822 € 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C5699" w14:textId="77777777" w:rsidR="00E3284B" w:rsidRPr="00593C2B" w:rsidRDefault="00E3284B" w:rsidP="00317315">
            <w:pPr>
              <w:pStyle w:val="Estilo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u-ES"/>
              </w:rPr>
            </w:pPr>
            <w:r w:rsidRPr="00593C2B">
              <w:rPr>
                <w:rFonts w:asciiTheme="minorHAnsi" w:hAnsiTheme="minorHAnsi" w:cstheme="minorHAnsi"/>
                <w:sz w:val="18"/>
                <w:szCs w:val="18"/>
                <w:lang w:val="eu-ES"/>
              </w:rPr>
              <w:t xml:space="preserve">1504,62 </w:t>
            </w:r>
          </w:p>
        </w:tc>
      </w:tr>
    </w:tbl>
    <w:p w14:paraId="1B5B32D9" w14:textId="6DE395C1" w:rsidR="00924A55" w:rsidRPr="00E3284B" w:rsidRDefault="00924A55">
      <w:pPr>
        <w:rPr>
          <w:lang w:val="es-ES"/>
        </w:rPr>
      </w:pPr>
    </w:p>
    <w:p w14:paraId="14BA757E" w14:textId="77777777" w:rsidR="00924A55" w:rsidRDefault="00E3284B">
      <w:pPr>
        <w:rPr>
          <w:rStyle w:val="Normal1"/>
        </w:rPr>
      </w:pPr>
      <w:proofErr w:type="spellStart"/>
      <w:r>
        <w:rPr>
          <w:rStyle w:val="Normal1"/>
        </w:rPr>
        <w:t>Agerikoa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denez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hegoaldetik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Aragoi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Errioxara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ikasleen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kasuan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nabarmenik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tasetan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iparraldetik</w:t>
      </w:r>
      <w:proofErr w:type="spellEnd"/>
      <w:r>
        <w:rPr>
          <w:rStyle w:val="Normal1"/>
        </w:rPr>
        <w:t xml:space="preserve"> eta, </w:t>
      </w:r>
      <w:proofErr w:type="spellStart"/>
      <w:r>
        <w:rPr>
          <w:rStyle w:val="Normal1"/>
        </w:rPr>
        <w:t>zehazki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Malerrekatik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edo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Bortzirietatik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Irungo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Udal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Kontserbatoriora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ikasleek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gehiago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ordaindu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handia</w:t>
      </w:r>
      <w:proofErr w:type="spellEnd"/>
      <w:r>
        <w:rPr>
          <w:rStyle w:val="Normal1"/>
        </w:rPr>
        <w:t xml:space="preserve"> da, </w:t>
      </w:r>
      <w:proofErr w:type="spellStart"/>
      <w:r>
        <w:rPr>
          <w:rStyle w:val="Normal1"/>
        </w:rPr>
        <w:t>beraz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ezberdinkeria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aurrean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lurralde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kohesioaren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ikuspegitik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neurri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zuzentzaileren</w:t>
      </w:r>
      <w:proofErr w:type="spellEnd"/>
      <w:r>
        <w:rPr>
          <w:rStyle w:val="Normal1"/>
        </w:rPr>
        <w:t xml:space="preserve"> bat </w:t>
      </w:r>
      <w:proofErr w:type="spellStart"/>
      <w:r>
        <w:rPr>
          <w:rStyle w:val="Normal1"/>
        </w:rPr>
        <w:t>hartzeari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ezinbestekoa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deritzogu</w:t>
      </w:r>
      <w:proofErr w:type="spellEnd"/>
      <w:r>
        <w:rPr>
          <w:rStyle w:val="Normal1"/>
        </w:rPr>
        <w:t>.</w:t>
      </w:r>
    </w:p>
    <w:p w14:paraId="503A2143" w14:textId="77777777" w:rsidR="00924A55" w:rsidRDefault="00E3284B">
      <w:pPr>
        <w:rPr>
          <w:rStyle w:val="Normal1"/>
        </w:rPr>
      </w:pPr>
      <w:proofErr w:type="spellStart"/>
      <w:r>
        <w:rPr>
          <w:rStyle w:val="Normal1"/>
        </w:rPr>
        <w:t>Honengatik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guztiarengatik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ebazpen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proposamena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dugu</w:t>
      </w:r>
      <w:proofErr w:type="spellEnd"/>
    </w:p>
    <w:p w14:paraId="611AF3E9" w14:textId="77777777" w:rsidR="00924A55" w:rsidRDefault="00E3284B">
      <w:pPr>
        <w:rPr>
          <w:rStyle w:val="Normal1"/>
          <w:spacing w:val="1"/>
        </w:rPr>
      </w:pPr>
      <w:proofErr w:type="spellStart"/>
      <w:r>
        <w:rPr>
          <w:rStyle w:val="Normal1"/>
          <w:spacing w:val="1"/>
        </w:rPr>
        <w:t>Nafarroako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Parlamentuak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Nafarroako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Gobernuari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eskatzen</w:t>
      </w:r>
      <w:proofErr w:type="spellEnd"/>
      <w:r>
        <w:rPr>
          <w:rStyle w:val="Normal1"/>
          <w:spacing w:val="1"/>
        </w:rPr>
        <w:t xml:space="preserve"> dio </w:t>
      </w:r>
      <w:proofErr w:type="spellStart"/>
      <w:r>
        <w:rPr>
          <w:rStyle w:val="Normal1"/>
          <w:spacing w:val="1"/>
        </w:rPr>
        <w:t>musika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ikasketa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profesionalak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Nafarroatik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kanpo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egiten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dituzten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ikasleei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ekitatea</w:t>
      </w:r>
      <w:proofErr w:type="spellEnd"/>
      <w:r>
        <w:rPr>
          <w:rStyle w:val="Normal1"/>
          <w:spacing w:val="1"/>
        </w:rPr>
        <w:t xml:space="preserve"> eta </w:t>
      </w:r>
      <w:proofErr w:type="spellStart"/>
      <w:r>
        <w:rPr>
          <w:rStyle w:val="Normal1"/>
          <w:spacing w:val="1"/>
        </w:rPr>
        <w:t>aukera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berdintasuna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bermatzeko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beharrezkoa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diren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neurriak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har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ditzala</w:t>
      </w:r>
      <w:proofErr w:type="spellEnd"/>
      <w:r>
        <w:rPr>
          <w:rStyle w:val="Normal1"/>
          <w:spacing w:val="1"/>
        </w:rPr>
        <w:t xml:space="preserve">, </w:t>
      </w:r>
      <w:proofErr w:type="spellStart"/>
      <w:r>
        <w:rPr>
          <w:rStyle w:val="Normal1"/>
          <w:spacing w:val="1"/>
        </w:rPr>
        <w:t>ordaindu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beharreko</w:t>
      </w:r>
      <w:proofErr w:type="spellEnd"/>
      <w:r>
        <w:rPr>
          <w:rStyle w:val="Normal1"/>
          <w:spacing w:val="1"/>
        </w:rPr>
        <w:t xml:space="preserve"> tasen </w:t>
      </w:r>
      <w:proofErr w:type="spellStart"/>
      <w:r>
        <w:rPr>
          <w:rStyle w:val="Normal1"/>
          <w:spacing w:val="1"/>
        </w:rPr>
        <w:t>prezioan</w:t>
      </w:r>
      <w:proofErr w:type="spellEnd"/>
      <w:r>
        <w:rPr>
          <w:rStyle w:val="Normal1"/>
          <w:spacing w:val="1"/>
        </w:rPr>
        <w:t xml:space="preserve"> aldea </w:t>
      </w:r>
      <w:proofErr w:type="spellStart"/>
      <w:r>
        <w:rPr>
          <w:rStyle w:val="Normal1"/>
          <w:spacing w:val="1"/>
        </w:rPr>
        <w:t>handia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denean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nolabaiteko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konpentsazioa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eginez</w:t>
      </w:r>
      <w:proofErr w:type="spellEnd"/>
      <w:r>
        <w:rPr>
          <w:rStyle w:val="Normal1"/>
          <w:spacing w:val="1"/>
        </w:rPr>
        <w:t xml:space="preserve">, izan </w:t>
      </w:r>
      <w:proofErr w:type="spellStart"/>
      <w:r>
        <w:rPr>
          <w:rStyle w:val="Normal1"/>
          <w:spacing w:val="1"/>
        </w:rPr>
        <w:t>lankidetza</w:t>
      </w:r>
      <w:proofErr w:type="spellEnd"/>
      <w:r>
        <w:rPr>
          <w:rStyle w:val="Normal1"/>
          <w:spacing w:val="1"/>
        </w:rPr>
        <w:t xml:space="preserve"> formularen bat </w:t>
      </w:r>
      <w:proofErr w:type="spellStart"/>
      <w:r>
        <w:rPr>
          <w:rStyle w:val="Normal1"/>
          <w:spacing w:val="1"/>
        </w:rPr>
        <w:t>bilatuz</w:t>
      </w:r>
      <w:proofErr w:type="spellEnd"/>
      <w:r>
        <w:rPr>
          <w:rStyle w:val="Normal1"/>
          <w:spacing w:val="1"/>
        </w:rPr>
        <w:t xml:space="preserve">, izan </w:t>
      </w:r>
      <w:proofErr w:type="spellStart"/>
      <w:r>
        <w:rPr>
          <w:rStyle w:val="Normal1"/>
          <w:spacing w:val="1"/>
        </w:rPr>
        <w:t>musika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eskolei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ematen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zaien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dirulaguntzetan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lurralde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kohesioaren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irizpidea</w:t>
      </w:r>
      <w:proofErr w:type="spellEnd"/>
      <w:r>
        <w:rPr>
          <w:rStyle w:val="Normal1"/>
          <w:spacing w:val="1"/>
        </w:rPr>
        <w:t xml:space="preserve"> ere </w:t>
      </w:r>
      <w:proofErr w:type="spellStart"/>
      <w:r>
        <w:rPr>
          <w:rStyle w:val="Normal1"/>
          <w:spacing w:val="1"/>
        </w:rPr>
        <w:t>txertatuz</w:t>
      </w:r>
      <w:proofErr w:type="spellEnd"/>
      <w:r>
        <w:rPr>
          <w:rStyle w:val="Normal1"/>
          <w:spacing w:val="1"/>
        </w:rPr>
        <w:t xml:space="preserve">, </w:t>
      </w:r>
      <w:proofErr w:type="spellStart"/>
      <w:r>
        <w:rPr>
          <w:rStyle w:val="Normal1"/>
          <w:spacing w:val="1"/>
        </w:rPr>
        <w:t>edo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e</w:t>
      </w:r>
      <w:r>
        <w:rPr>
          <w:rStyle w:val="Normal1"/>
          <w:spacing w:val="1"/>
        </w:rPr>
        <w:t>goki</w:t>
      </w:r>
      <w:proofErr w:type="spellEnd"/>
      <w:r>
        <w:rPr>
          <w:rStyle w:val="Normal1"/>
          <w:spacing w:val="1"/>
        </w:rPr>
        <w:t xml:space="preserve"> </w:t>
      </w:r>
      <w:proofErr w:type="spellStart"/>
      <w:r>
        <w:rPr>
          <w:rStyle w:val="Normal1"/>
          <w:spacing w:val="1"/>
        </w:rPr>
        <w:t>ikusten</w:t>
      </w:r>
      <w:proofErr w:type="spellEnd"/>
      <w:r>
        <w:rPr>
          <w:rStyle w:val="Normal1"/>
          <w:spacing w:val="1"/>
        </w:rPr>
        <w:t xml:space="preserve"> den </w:t>
      </w:r>
      <w:proofErr w:type="spellStart"/>
      <w:r>
        <w:rPr>
          <w:rStyle w:val="Normal1"/>
          <w:spacing w:val="1"/>
        </w:rPr>
        <w:t>moduan</w:t>
      </w:r>
      <w:proofErr w:type="spellEnd"/>
      <w:r>
        <w:rPr>
          <w:rStyle w:val="Normal1"/>
          <w:spacing w:val="1"/>
        </w:rPr>
        <w:t>.</w:t>
      </w:r>
    </w:p>
    <w:p w14:paraId="620C130D" w14:textId="77777777" w:rsidR="00924A55" w:rsidRDefault="00E3284B">
      <w:pPr>
        <w:rPr>
          <w:rStyle w:val="Normal1"/>
        </w:rPr>
      </w:pPr>
      <w:proofErr w:type="spellStart"/>
      <w:r>
        <w:rPr>
          <w:rStyle w:val="Normal1"/>
        </w:rPr>
        <w:t>lruñean</w:t>
      </w:r>
      <w:proofErr w:type="spellEnd"/>
      <w:r>
        <w:rPr>
          <w:rStyle w:val="Normal1"/>
        </w:rPr>
        <w:t xml:space="preserve">, 2023ko </w:t>
      </w:r>
      <w:proofErr w:type="spellStart"/>
      <w:r>
        <w:rPr>
          <w:rStyle w:val="Normal1"/>
        </w:rPr>
        <w:t>urtarrilaren</w:t>
      </w:r>
      <w:proofErr w:type="spellEnd"/>
      <w:r>
        <w:rPr>
          <w:rStyle w:val="Normal1"/>
        </w:rPr>
        <w:t xml:space="preserve"> 26an</w:t>
      </w:r>
    </w:p>
    <w:p w14:paraId="0443B8A9" w14:textId="77777777" w:rsidR="00924A55" w:rsidRDefault="00E3284B">
      <w:pPr>
        <w:rPr>
          <w:rStyle w:val="Normal1"/>
        </w:rPr>
      </w:pP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Bakartxo Ruiz Jaso</w:t>
      </w:r>
    </w:p>
    <w:sectPr w:rsidR="00924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A55"/>
    <w:rsid w:val="00924A55"/>
    <w:rsid w:val="00E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F980"/>
  <w15:docId w15:val="{8AB6068A-EFF2-47E1-A30C-B37853BD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paragraph" w:customStyle="1" w:styleId="Estilo">
    <w:name w:val="Estilo"/>
    <w:rsid w:val="00E3284B"/>
    <w:pPr>
      <w:widowControl w:val="0"/>
      <w:autoSpaceDE w:val="0"/>
      <w:autoSpaceDN w:val="0"/>
      <w:adjustRightInd w:val="0"/>
      <w:textAlignment w:val="auto"/>
    </w:pPr>
    <w:rPr>
      <w:rFonts w:ascii="Arial" w:hAnsi="Arial" w:cs="Arial"/>
      <w:color w:val="auto"/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39"/>
    <w:rsid w:val="00E3284B"/>
    <w:pPr>
      <w:textAlignment w:val="auto"/>
    </w:pPr>
    <w:rPr>
      <w:rFonts w:ascii="Calibri" w:hAnsi="Calibri"/>
      <w:color w:val="auto"/>
      <w:lang w:val="es-ES" w:eastAsia="es-E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2023-02-02T13:10:00Z</dcterms:created>
  <dcterms:modified xsi:type="dcterms:W3CDTF">2023-02-02T13:10:00Z</dcterms:modified>
</cp:coreProperties>
</file>