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Navarra Suma talde parlamentarioko Jorge Esparza Garrido jaunak eskatzen du ahoz erantzuteko galdera bihur daitezen bere garaian idatzizko erantzuna jasotzeko egin zituenak —ondoren aipatuko dira—, hamabost egun baino gehiago iragan baitira Nafarroako Parlamentuko Aldizkari Ofizialean argitaratu zirenetik Nafarroako Gobernuak Parlamentura erantzunik bidali gabe.</w:t>
      </w:r>
    </w:p>
    <w:p>
      <w:pPr>
        <w:pStyle w:val="0"/>
        <w:suppressAutoHyphens w:val="false"/>
        <w:rPr>
          <w:rStyle w:val="1"/>
        </w:rPr>
      </w:pPr>
      <w:r>
        <w:rPr>
          <w:rStyle w:val="1"/>
        </w:rPr>
        <w:t xml:space="preserve">Kontuan izanda Nafarroako Parlamentuko Erregelamenduaren 194.2 artikuluak ezartzen duela galderen idatzizko erantzuna galdera argitaratu eta hurrengo hamabost egunen barruan eman beharko dela, eta Lehendakaritza honi agintzen diola, aipatu epean Gobernuak erantzunik bidali ez badu, eta galdegileak horrela eskatuta, kasuan kasuko batzordearen hurrengo bilkuraren gai zerrendan sartzea, eta hori dela Jorge Esparza Garrido jaunak egindako eskaeran aipatzen den galderen kasua –galderak erabaki honekin batera eransten dira–, hona ERABAKIA:</w:t>
      </w:r>
    </w:p>
    <w:p>
      <w:pPr>
        <w:pStyle w:val="0"/>
        <w:suppressAutoHyphens w:val="false"/>
        <w:rPr>
          <w:rStyle w:val="1"/>
        </w:rPr>
      </w:pPr>
      <w:r>
        <w:rPr>
          <w:rStyle w:val="1"/>
          <w:b w:val="true"/>
        </w:rPr>
        <w:t xml:space="preserve">1. </w:t>
      </w:r>
      <w:r>
        <w:rPr>
          <w:rStyle w:val="1"/>
        </w:rPr>
        <w:t xml:space="preserve">Agintzen da heldu den martxoaren 28an 12:15ean Eskubide Sozialetako Batzordeak eginen duen bilkurako gai-zerrendan honako galdera hauek sar daitezen, kontseilari eskudunak ahozko erantzuna eman diezaien:</w:t>
      </w:r>
    </w:p>
    <w:p>
      <w:pPr>
        <w:pStyle w:val="2"/>
        <w:jc w:val="both"/>
        <w:suppressAutoHyphens w:val="false"/>
        <w:rPr/>
      </w:pPr>
      <w:r>
        <w:rPr/>
        <w:t xml:space="preserve">– </w:t>
        <w:t xml:space="preserve">�</w:t>
        <w:t xml:space="preserve">PES 10-23/PES-00039, 2023ko otsailaren 10eko 23. NPAOn argitaratuta.</w:t>
      </w:r>
    </w:p>
    <w:p>
      <w:pPr>
        <w:pStyle w:val="2"/>
        <w:jc w:val="both"/>
        <w:suppressAutoHyphens w:val="false"/>
        <w:rPr/>
      </w:pPr>
      <w:r>
        <w:rPr/>
        <w:t xml:space="preserve">– </w:t>
        <w:t xml:space="preserve">�</w:t>
        <w:t xml:space="preserve">PES 10-23/PES-00040, 2023ko otsailaren 10eko 23. NPAOn argitaratuta.</w:t>
      </w:r>
    </w:p>
    <w:p>
      <w:pPr>
        <w:pStyle w:val="2"/>
        <w:jc w:val="both"/>
        <w:suppressAutoHyphens w:val="false"/>
        <w:rPr/>
      </w:pPr>
      <w:r>
        <w:rPr/>
        <w:t xml:space="preserve">– </w:t>
        <w:t xml:space="preserve">�</w:t>
        <w:t xml:space="preserve">PES 10-23/PES-00051, 2023ko otsailaren 10eko 23. NPAOn argitaratuta.</w:t>
      </w:r>
    </w:p>
    <w:p>
      <w:pPr>
        <w:pStyle w:val="2"/>
        <w:jc w:val="both"/>
        <w:suppressAutoHyphens w:val="false"/>
        <w:rPr/>
      </w:pPr>
      <w:r>
        <w:rPr/>
        <w:t xml:space="preserve">– </w:t>
        <w:t xml:space="preserve">�</w:t>
        <w:t xml:space="preserve">PES 10-23/PES-00052, 2023ko otsailaren 10eko 23. NPAOn argitaratuta.</w:t>
      </w:r>
    </w:p>
    <w:p>
      <w:pPr>
        <w:pStyle w:val="2"/>
        <w:jc w:val="both"/>
        <w:suppressAutoHyphens w:val="false"/>
        <w:rPr/>
      </w:pPr>
      <w:r>
        <w:rPr/>
        <w:t xml:space="preserve">– </w:t>
        <w:t xml:space="preserve">�</w:t>
        <w:t xml:space="preserve">PES 10-23/PES-00058, 2023ko otsailaren 24ko 30. NPAOn argitaratuta.</w:t>
      </w:r>
    </w:p>
    <w:p>
      <w:pPr>
        <w:pStyle w:val="2"/>
        <w:jc w:val="both"/>
        <w:suppressAutoHyphens w:val="false"/>
        <w:rPr/>
      </w:pPr>
      <w:r>
        <w:rPr/>
        <w:t xml:space="preserve">– </w:t>
        <w:t xml:space="preserve">�</w:t>
        <w:t xml:space="preserve">PES 10-23/PES-00059, 2023ko otsailaren 24ko 30. NPAOn argitaratuta.</w:t>
      </w:r>
    </w:p>
    <w:p>
      <w:pPr>
        <w:pStyle w:val="2"/>
        <w:jc w:val="both"/>
        <w:suppressAutoHyphens w:val="false"/>
        <w:rPr/>
      </w:pPr>
      <w:r>
        <w:rPr/>
        <w:t xml:space="preserve">– </w:t>
        <w:t xml:space="preserve">�</w:t>
        <w:t xml:space="preserve">PES 10-23/PES-00063, 2023ko otsailaren 24ko 30. NPAOn argitaratuta.</w:t>
      </w:r>
    </w:p>
    <w:p>
      <w:pPr>
        <w:pStyle w:val="2"/>
        <w:jc w:val="both"/>
        <w:suppressAutoHyphens w:val="false"/>
        <w:rPr/>
      </w:pPr>
      <w:r>
        <w:rPr/>
        <w:t xml:space="preserve">– </w:t>
        <w:t xml:space="preserve">�</w:t>
        <w:t xml:space="preserve">PES 10-23/PES-00064, 2023ko otsailaren 24ko 30. NPAOn argitaratuta.</w:t>
      </w:r>
    </w:p>
    <w:p>
      <w:pPr>
        <w:pStyle w:val="2"/>
        <w:jc w:val="both"/>
        <w:suppressAutoHyphens w:val="false"/>
        <w:rPr/>
      </w:pPr>
      <w:r>
        <w:rPr/>
        <w:t xml:space="preserve">– </w:t>
        <w:t xml:space="preserve">�</w:t>
        <w:t xml:space="preserve">PES 10-23/PES-00065, 2023ko otsailaren 24ko 30. NPAOn argitaratuta.</w:t>
      </w:r>
    </w:p>
    <w:p>
      <w:pPr>
        <w:pStyle w:val="2"/>
        <w:jc w:val="both"/>
        <w:suppressAutoHyphens w:val="false"/>
        <w:rPr/>
      </w:pPr>
      <w:r>
        <w:rPr/>
        <w:t xml:space="preserve">– </w:t>
        <w:t xml:space="preserve">�</w:t>
        <w:t xml:space="preserve">PES 10-23/PES-00066, 2023ko otsailaren 24ko 30. NPAOn argitaratuta.</w:t>
      </w:r>
    </w:p>
    <w:p>
      <w:pPr>
        <w:pStyle w:val="2"/>
        <w:jc w:val="both"/>
        <w:suppressAutoHyphens w:val="false"/>
        <w:rPr/>
      </w:pPr>
      <w:r>
        <w:rPr/>
        <w:t xml:space="preserve">– </w:t>
        <w:t xml:space="preserve">�</w:t>
        <w:t xml:space="preserve">PES 10-23/PES-00069, 2023ko martxoaren 1eko 33. NPAOn argitaratuta.</w:t>
      </w:r>
    </w:p>
    <w:p>
      <w:pPr>
        <w:pStyle w:val="2"/>
        <w:jc w:val="both"/>
        <w:suppressAutoHyphens w:val="false"/>
        <w:rPr/>
      </w:pPr>
      <w:r>
        <w:rPr/>
        <w:t xml:space="preserve">– </w:t>
        <w:t xml:space="preserve">�</w:t>
        <w:t xml:space="preserve">PES 10-23/PES-00070, 2023ko martxoaren 1eko 33. NPAOn argitaratuta.</w:t>
      </w:r>
    </w:p>
    <w:p>
      <w:pPr>
        <w:pStyle w:val="2"/>
        <w:jc w:val="both"/>
        <w:suppressAutoHyphens w:val="false"/>
        <w:rPr/>
      </w:pPr>
      <w:r>
        <w:rPr/>
        <w:t xml:space="preserve">– </w:t>
        <w:t xml:space="preserve">�</w:t>
        <w:t xml:space="preserve">PES 10-23/PES-00071, 2023ko martxoaren 1eko 33. NPAOn argitaratuta.</w:t>
      </w:r>
    </w:p>
    <w:p>
      <w:pPr>
        <w:pStyle w:val="0"/>
        <w:ind w:firstLine="0"/>
        <w:suppressAutoHyphens w:val="false"/>
        <w:rPr>
          <w:rStyle w:val="1"/>
        </w:rPr>
      </w:pPr>
      <w:r>
        <w:rPr>
          <w:rStyle w:val="1"/>
        </w:rPr>
        <w:t xml:space="preserve">– </w:t>
        <w:t xml:space="preserve">�</w:t>
        <w:t xml:space="preserve">PES 10-23/PES-00072, 2023ko martxoaren 1eko 33. NPAOn argitaratuta.</w:t>
      </w:r>
    </w:p>
    <w:p>
      <w:pPr>
        <w:pStyle w:val="0"/>
        <w:suppressAutoHyphens w:val="false"/>
        <w:rPr>
          <w:rStyle w:val="1"/>
        </w:rPr>
      </w:pPr>
      <w:r>
        <w:rPr>
          <w:rStyle w:val="1"/>
          <w:b w:val="true"/>
        </w:rPr>
        <w:t xml:space="preserve">2. </w:t>
      </w:r>
      <w:r>
        <w:rPr>
          <w:rStyle w:val="1"/>
        </w:rPr>
        <w:t xml:space="preserve">Erabaki hau igortzea Nafarroako Gobernuko Lehendakaritzako, Berdintasuneko, Funtzio Publikoko eta Barneko kontseilariari, eta Nafarroako Parlamentuko Aldizkari Ofizialean argitara dadin agintzea.</w:t>
      </w:r>
    </w:p>
    <w:p>
      <w:pPr>
        <w:pStyle w:val="0"/>
        <w:suppressAutoHyphens w:val="false"/>
        <w:rPr>
          <w:rStyle w:val="1"/>
        </w:rPr>
      </w:pPr>
      <w:r>
        <w:rPr>
          <w:rStyle w:val="1"/>
        </w:rPr>
        <w:t xml:space="preserve">Iruñean, 2023ko martxoaren 23an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Tab8"/>
    <w:basedOn w:val="0"/>
    <w:next w:val="2"/>
    <w:qFormat w:val="true"/>
    <w:pPr>
      <w:jc w:val="left"/>
      <w:ind w:firstLine="0"/>
      <w:spacing w:after="56.693" w:before="0" w:line="230" w:lineRule="exact"/>
      <w:keepNext w:val="false"/>
      <w:keepLines w:val="true"/>
      <w:textFlow w:val="lrTb"/>
      <w:textAlignment w:val="baseline"/>
      <w:suppressAutoHyphens w:val="false"/>
      <w:contextualSpacing w:val="false"/>
    </w:pPr>
    <w:rPr>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