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62B5" w14:textId="254CD60C" w:rsidR="00BA7380" w:rsidRPr="00BA7380" w:rsidRDefault="00BA7380" w:rsidP="00BA7380">
      <w:pPr>
        <w:spacing w:before="100" w:beforeAutospacing="1" w:after="200"/>
        <w:jc w:val="both"/>
      </w:pPr>
      <w:r>
        <w:rPr>
          <w:b/>
        </w:rPr>
        <w:t xml:space="preserve">PES-00090</w:t>
      </w:r>
    </w:p>
    <w:p w14:paraId="19FE1B5B" w14:textId="2C36D09B" w:rsidR="00AF67D5" w:rsidRPr="00BA7380" w:rsidRDefault="00BA7380" w:rsidP="00BA7380">
      <w:pPr>
        <w:spacing w:before="100" w:beforeAutospacing="1" w:after="200"/>
        <w:ind w:right="542"/>
        <w:jc w:val="both"/>
      </w:pPr>
      <w:r>
        <w:t xml:space="preserve">EH Bildu Nafarroa talde parlamentarioari atxikitako foru parlamentari Txomin González Martínezek, Legebiltzarreko Erregelamenduan ezarritakoaren babesean, honako galdera hau aurkezten du, Nafarroako Gobernuko Osasuneko kontseilariak idatziz erantzun dezan:</w:t>
      </w:r>
    </w:p>
    <w:p w14:paraId="1A40B987" w14:textId="77777777" w:rsidR="00AF67D5" w:rsidRPr="00BA7380" w:rsidRDefault="00B447B0" w:rsidP="00BA7380">
      <w:pPr>
        <w:spacing w:before="100" w:beforeAutospacing="1" w:after="200" w:line="254" w:lineRule="auto"/>
        <w:ind w:right="578"/>
        <w:jc w:val="both"/>
      </w:pPr>
      <w:r>
        <w:t xml:space="preserve">Honako hau dio urriaren 20ko 1207/2006 Errege Dekretuak, Osasun Kohesiorako Funtsaren kudeaketa arautzen duenak:</w:t>
      </w:r>
    </w:p>
    <w:p w14:paraId="401A325B" w14:textId="106841C2" w:rsidR="00AF67D5" w:rsidRPr="00BA7380" w:rsidRDefault="00D15635" w:rsidP="00BA7380">
      <w:pPr>
        <w:pStyle w:val="Textoindependiente"/>
        <w:spacing w:before="100" w:beforeAutospacing="1" w:after="200" w:line="254" w:lineRule="auto"/>
        <w:ind w:right="578"/>
        <w:jc w:val="both"/>
      </w:pPr>
      <w:r>
        <w:t xml:space="preserve">“Osasun Kohesiorako Funtsak, 21/2001 Legearen bidez sortuak (21/2001 Legea, abenduaren 27koa, erregimen komuneko autonomia erkidegoen eta autonomia-estatutudun hirien finantziazio sistema berriko neurri fiskal eta administratiboak arautzen dituena), xede du osasun-laguntzako zerbitzu publikoak eskuratzeko aukeretan berdintasuna bermatzea Espainiako lurralde osoan, eta herritar desplazatuak ere artatzea, Europar Batasuneko herrialdeetakoak edo Espainiarekin elkarrekiko osasun-laguntzarako hitzarmenak dituzten herrialdeetakoak direnean.</w:t>
      </w:r>
    </w:p>
    <w:p w14:paraId="480A9D62" w14:textId="0800817C" w:rsidR="00AF67D5" w:rsidRPr="00BA7380" w:rsidRDefault="00B447B0" w:rsidP="00BA7380">
      <w:pPr>
        <w:pStyle w:val="Textoindependiente"/>
        <w:spacing w:before="100" w:beforeAutospacing="1" w:after="200" w:line="254" w:lineRule="auto"/>
        <w:ind w:right="578"/>
        <w:jc w:val="both"/>
      </w:pPr>
      <w:r>
        <w:t xml:space="preserve">Osasun eta Kontsumo Ministerioari dagokio horren kudeaketa eta banaketa.</w:t>
      </w:r>
      <w:r>
        <w:t xml:space="preserve"> </w:t>
      </w:r>
      <w:r>
        <w:t xml:space="preserve">Maiatzaren 28ko 16/2003 Legeak, Osasun Sistema Nazionalaren kohesioari eta kalitateari buruzkoak, zerbitzuen antolaketa arrazionalizatzeko eta sisteman efizientzia sartzeko kalitate-bermeen politikari dagokionez, 28. artikuluan arautzen ditu erreferentziazko zerbitzuak, eta xedatzen du Osasun Sistema Nazionaleko Lurraldearteko Kontseiluaren baitan izendatuko direla, plangintza-ikuspegi orokor batekin, eta horietan ematen den arreta Osasun Kohesiorako Funtsaren kontura finantzatuko dela....</w:t>
      </w:r>
    </w:p>
    <w:p w14:paraId="5A4487A6" w14:textId="4CD2A380" w:rsidR="00AF67D5" w:rsidRPr="00BA7380" w:rsidRDefault="00B447B0" w:rsidP="00BA7380">
      <w:pPr>
        <w:spacing w:before="100" w:beforeAutospacing="1" w:after="200" w:line="254" w:lineRule="auto"/>
        <w:ind w:right="578"/>
        <w:jc w:val="both"/>
      </w:pPr>
      <w:r>
        <w:t xml:space="preserve">Nafarroan, badaude zorro komunean jasotako zenbait prestazio, Osasunbidea-Nafarroako Osasun Zerbitzuak zuzenean ematen ez dituenak (bihotz-transplanteak, giltzurrun-transplanteak...).</w:t>
      </w:r>
      <w:r>
        <w:t xml:space="preserve"> </w:t>
      </w:r>
      <w:r>
        <w:t xml:space="preserve">Prestazio horiek osasun-zentro pribatuek, Nafarroako Klinika Unibertsitarioak eta abarrek ematen dituzte usu, eta Osasunbideak finantzatzen ditu.</w:t>
      </w:r>
      <w:r>
        <w:t xml:space="preserve"> </w:t>
      </w:r>
      <w:r>
        <w:t xml:space="preserve">Horrelako laguntza-jarduerak egiten dituen osasun-zerbitzu publikorik ez duten autonomia-erkidegoetan, Erreferentziazko Zentro, Zerbitzu eta Unitateek (EZZU) ematen dituzte prestazio horiek, eta Osasun Kohesiorako Funtsaren bidez finantzatzen dira.</w:t>
      </w:r>
    </w:p>
    <w:p w14:paraId="5022429C" w14:textId="77777777" w:rsidR="00AF67D5" w:rsidRPr="00BA7380" w:rsidRDefault="00B447B0" w:rsidP="00BA7380">
      <w:pPr>
        <w:spacing w:before="100" w:beforeAutospacing="1" w:after="200"/>
        <w:jc w:val="both"/>
      </w:pPr>
      <w:r>
        <w:t xml:space="preserve">Hori dela-eta, honako hau jakin nahi dut:</w:t>
      </w:r>
    </w:p>
    <w:p w14:paraId="72C1F29A" w14:textId="2F3AEDFC" w:rsidR="00AF67D5" w:rsidRPr="00BA7380" w:rsidRDefault="00B447B0" w:rsidP="00B447B0">
      <w:pPr>
        <w:pStyle w:val="Prrafodelista"/>
        <w:numPr>
          <w:ilvl w:val="0"/>
          <w:numId w:val="2"/>
        </w:numPr>
        <w:tabs>
          <w:tab w:val="left" w:pos="1783"/>
          <w:tab w:val="left" w:pos="1784"/>
        </w:tabs>
        <w:spacing w:before="100" w:beforeAutospacing="1" w:after="200"/>
        <w:ind w:left="0" w:right="540" w:firstLine="0"/>
        <w:jc w:val="both"/>
        <w:rPr>
          <w:b/>
        </w:rPr>
      </w:pPr>
      <w:r>
        <w:rPr>
          <w:b/>
        </w:rPr>
        <w:t xml:space="preserve">Osasunbideak finantzatutako eta entitate pribatuek emandako zorro komuneko osasun-prestazioen kostua (bihotz-transplanteak, giltzurrun-transplanteak...) zer prozeduraren bidez konpentsatzen edo itzultzen du Osasun Ministerioak edo Espainiako Gobernuak?</w:t>
      </w:r>
    </w:p>
    <w:p w14:paraId="751152BC" w14:textId="77777777" w:rsidR="00AF67D5" w:rsidRPr="00BA7380" w:rsidRDefault="00B447B0" w:rsidP="00B447B0">
      <w:pPr>
        <w:pStyle w:val="Prrafodelista"/>
        <w:numPr>
          <w:ilvl w:val="0"/>
          <w:numId w:val="2"/>
        </w:numPr>
        <w:tabs>
          <w:tab w:val="left" w:pos="1783"/>
          <w:tab w:val="left" w:pos="1784"/>
        </w:tabs>
        <w:spacing w:before="100" w:beforeAutospacing="1" w:after="200"/>
        <w:ind w:left="0" w:right="540" w:firstLine="0"/>
        <w:jc w:val="both"/>
        <w:rPr>
          <w:b/>
        </w:rPr>
      </w:pPr>
      <w:r>
        <w:rPr>
          <w:b/>
        </w:rPr>
        <w:t xml:space="preserve">Kostu horren zer ehuneko konpentsatzen du Osasun Ministerioak edo Espainiako Gobernuak? Parekagarria al da Osasun Kohesiorako Funtsak ematen duen finantzaketarekin?</w:t>
      </w:r>
    </w:p>
    <w:p w14:paraId="12C67557" w14:textId="6A0607DB" w:rsidR="00AF67D5" w:rsidRDefault="00B447B0" w:rsidP="00BA7380">
      <w:pPr>
        <w:spacing w:before="100" w:beforeAutospacing="1" w:after="200"/>
        <w:ind w:right="2109"/>
      </w:pPr>
      <w:r>
        <w:t xml:space="preserve">Iruñean, 2023ko irailaren 13an</w:t>
      </w:r>
    </w:p>
    <w:p w14:paraId="16739214" w14:textId="711D96E8" w:rsidR="00BA7380" w:rsidRPr="00BA7380" w:rsidRDefault="00BA7380" w:rsidP="00BA7380">
      <w:pPr>
        <w:spacing w:before="100" w:beforeAutospacing="1" w:after="200"/>
      </w:pPr>
      <w:r>
        <w:t xml:space="preserve">Foru parlamentaria:</w:t>
      </w:r>
      <w:r>
        <w:t xml:space="preserve"> </w:t>
      </w:r>
      <w:r>
        <w:t xml:space="preserve">Txomin González Martínez</w:t>
      </w:r>
    </w:p>
    <w:sectPr w:rsidR="00BA7380" w:rsidRPr="00BA7380">
      <w:pgSz w:w="11900" w:h="16840"/>
      <w:pgMar w:top="13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33C"/>
    <w:multiLevelType w:val="hybridMultilevel"/>
    <w:tmpl w:val="234C9B44"/>
    <w:lvl w:ilvl="0" w:tplc="FE886724">
      <w:numFmt w:val="bullet"/>
      <w:suff w:val="space"/>
      <w:lvlText w:val=""/>
      <w:lvlJc w:val="left"/>
      <w:pPr>
        <w:ind w:left="178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EAD0BC">
      <w:numFmt w:val="bullet"/>
      <w:lvlText w:val="•"/>
      <w:lvlJc w:val="left"/>
      <w:pPr>
        <w:ind w:left="2612" w:hanging="360"/>
      </w:pPr>
      <w:rPr>
        <w:rFonts w:hint="default"/>
      </w:rPr>
    </w:lvl>
    <w:lvl w:ilvl="2" w:tplc="5F581ABC">
      <w:numFmt w:val="bullet"/>
      <w:lvlText w:val="•"/>
      <w:lvlJc w:val="left"/>
      <w:pPr>
        <w:ind w:left="3444" w:hanging="360"/>
      </w:pPr>
      <w:rPr>
        <w:rFonts w:hint="default"/>
      </w:rPr>
    </w:lvl>
    <w:lvl w:ilvl="3" w:tplc="16D41CE2">
      <w:numFmt w:val="bullet"/>
      <w:lvlText w:val="•"/>
      <w:lvlJc w:val="left"/>
      <w:pPr>
        <w:ind w:left="4276" w:hanging="360"/>
      </w:pPr>
      <w:rPr>
        <w:rFonts w:hint="default"/>
      </w:rPr>
    </w:lvl>
    <w:lvl w:ilvl="4" w:tplc="7D326118"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617AE908">
      <w:numFmt w:val="bullet"/>
      <w:lvlText w:val="•"/>
      <w:lvlJc w:val="left"/>
      <w:pPr>
        <w:ind w:left="5940" w:hanging="360"/>
      </w:pPr>
      <w:rPr>
        <w:rFonts w:hint="default"/>
      </w:rPr>
    </w:lvl>
    <w:lvl w:ilvl="6" w:tplc="79588824">
      <w:numFmt w:val="bullet"/>
      <w:lvlText w:val="•"/>
      <w:lvlJc w:val="left"/>
      <w:pPr>
        <w:ind w:left="6772" w:hanging="360"/>
      </w:pPr>
      <w:rPr>
        <w:rFonts w:hint="default"/>
      </w:rPr>
    </w:lvl>
    <w:lvl w:ilvl="7" w:tplc="781C5D84">
      <w:numFmt w:val="bullet"/>
      <w:lvlText w:val="•"/>
      <w:lvlJc w:val="left"/>
      <w:pPr>
        <w:ind w:left="7604" w:hanging="360"/>
      </w:pPr>
      <w:rPr>
        <w:rFonts w:hint="default"/>
      </w:rPr>
    </w:lvl>
    <w:lvl w:ilvl="8" w:tplc="FA52E7E6">
      <w:numFmt w:val="bullet"/>
      <w:lvlText w:val="•"/>
      <w:lvlJc w:val="left"/>
      <w:pPr>
        <w:ind w:left="8436" w:hanging="360"/>
      </w:pPr>
      <w:rPr>
        <w:rFonts w:hint="default"/>
      </w:rPr>
    </w:lvl>
  </w:abstractNum>
  <w:abstractNum w:abstractNumId="1" w15:restartNumberingAfterBreak="0">
    <w:nsid w:val="27145492"/>
    <w:multiLevelType w:val="hybridMultilevel"/>
    <w:tmpl w:val="47A4BA8A"/>
    <w:lvl w:ilvl="0" w:tplc="D2D273A6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5DE34FC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2920F4E6">
      <w:numFmt w:val="bullet"/>
      <w:lvlText w:val="•"/>
      <w:lvlJc w:val="left"/>
      <w:pPr>
        <w:ind w:left="2316" w:hanging="360"/>
      </w:pPr>
      <w:rPr>
        <w:rFonts w:hint="default"/>
      </w:rPr>
    </w:lvl>
    <w:lvl w:ilvl="3" w:tplc="DDE89046">
      <w:numFmt w:val="bullet"/>
      <w:lvlText w:val="•"/>
      <w:lvlJc w:val="left"/>
      <w:pPr>
        <w:ind w:left="3104" w:hanging="360"/>
      </w:pPr>
      <w:rPr>
        <w:rFonts w:hint="default"/>
      </w:rPr>
    </w:lvl>
    <w:lvl w:ilvl="4" w:tplc="4BB4A78A">
      <w:numFmt w:val="bullet"/>
      <w:lvlText w:val="•"/>
      <w:lvlJc w:val="left"/>
      <w:pPr>
        <w:ind w:left="3892" w:hanging="360"/>
      </w:pPr>
      <w:rPr>
        <w:rFonts w:hint="default"/>
      </w:rPr>
    </w:lvl>
    <w:lvl w:ilvl="5" w:tplc="E272E3F2"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5FAE299C">
      <w:numFmt w:val="bullet"/>
      <w:lvlText w:val="•"/>
      <w:lvlJc w:val="left"/>
      <w:pPr>
        <w:ind w:left="5468" w:hanging="360"/>
      </w:pPr>
      <w:rPr>
        <w:rFonts w:hint="default"/>
      </w:rPr>
    </w:lvl>
    <w:lvl w:ilvl="7" w:tplc="B86ED00A">
      <w:numFmt w:val="bullet"/>
      <w:lvlText w:val="•"/>
      <w:lvlJc w:val="left"/>
      <w:pPr>
        <w:ind w:left="6256" w:hanging="360"/>
      </w:pPr>
      <w:rPr>
        <w:rFonts w:hint="default"/>
      </w:rPr>
    </w:lvl>
    <w:lvl w:ilvl="8" w:tplc="BB902A5A">
      <w:numFmt w:val="bullet"/>
      <w:lvlText w:val="•"/>
      <w:lvlJc w:val="left"/>
      <w:pPr>
        <w:ind w:left="7044" w:hanging="360"/>
      </w:pPr>
      <w:rPr>
        <w:rFonts w:hint="default"/>
      </w:rPr>
    </w:lvl>
  </w:abstractNum>
  <w:num w:numId="1" w16cid:durableId="1950697504">
    <w:abstractNumId w:val="1"/>
  </w:num>
  <w:num w:numId="2" w16cid:durableId="1516073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7D5"/>
    <w:rsid w:val="005A54D6"/>
    <w:rsid w:val="00AF67D5"/>
    <w:rsid w:val="00B447B0"/>
    <w:rsid w:val="00BA7380"/>
    <w:rsid w:val="00D1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594EC"/>
  <w15:docId w15:val="{0866C9FF-58BA-418E-B041-82314F0A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ind w:left="744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i/>
    </w:rPr>
  </w:style>
  <w:style w:type="paragraph" w:styleId="Prrafodelista">
    <w:name w:val="List Paragraph"/>
    <w:basedOn w:val="Normal"/>
    <w:uiPriority w:val="1"/>
    <w:qFormat/>
    <w:pPr>
      <w:ind w:left="744" w:right="10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Martinez, Domingo</dc:creator>
  <cp:lastModifiedBy>Martin Cestao, Nerea</cp:lastModifiedBy>
  <cp:revision>4</cp:revision>
  <dcterms:created xsi:type="dcterms:W3CDTF">2023-09-14T08:35:00Z</dcterms:created>
  <dcterms:modified xsi:type="dcterms:W3CDTF">2023-09-14T07:11:00Z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2023-09-13T00:00:00Z</vt:filetime>
  </property>
</Properties>
</file>