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B9D79" w14:textId="1F6C16F0" w:rsidR="005E0F92" w:rsidRPr="00FF6FA2" w:rsidRDefault="005E0F92" w:rsidP="008E6AC2">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23MOC-53</w:t>
      </w:r>
    </w:p>
    <w:p w14:paraId="476E2ED9" w14:textId="46520EE7" w:rsidR="00FF6FA2" w:rsidRPr="00FF6FA2" w:rsidRDefault="00DD0BAF" w:rsidP="008E6AC2">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Gorteetako kide eta Vox Nafarroa foru parlamentarien elkarteari atxikitako María Teresa Nosti Izquierdo andreak, Legebiltzarreko Erregelamenduaren 219. artikuluan ezarritakoaren babesean, honako mozio hau aurkezten du, Osoko Bilkuran eztabaidatu eta bozkatzeko: USE bakarra ezartzea lurralde nazional osoan.</w:t>
      </w:r>
    </w:p>
    <w:p w14:paraId="77051108" w14:textId="4DDA0976" w:rsidR="00FF6FA2" w:rsidRPr="005F6961" w:rsidRDefault="005F6961" w:rsidP="008E6AC2">
      <w:pPr>
        <w:pStyle w:val="Style"/>
        <w:spacing w:before="100" w:beforeAutospacing="1" w:after="200" w:line="276" w:lineRule="auto"/>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0A5EB091" w14:textId="69081B1D" w:rsidR="00015D70" w:rsidRPr="00FF6FA2" w:rsidRDefault="00DD0BAF" w:rsidP="008E6AC2">
      <w:pPr>
        <w:pStyle w:val="Style"/>
        <w:spacing w:before="100" w:beforeAutospacing="1" w:after="200" w:line="276" w:lineRule="auto"/>
        <w:ind w:firstLine="734"/>
        <w:jc w:val="both"/>
        <w:textAlignment w:val="baseline"/>
        <w:rPr>
          <w:sz w:val="22"/>
          <w:szCs w:val="22"/>
          <w:rFonts w:ascii="Calibri" w:hAnsi="Calibri" w:cs="Calibri"/>
        </w:rPr>
      </w:pPr>
      <w:r>
        <w:rPr>
          <w:sz w:val="22"/>
          <w:rFonts w:ascii="Calibri" w:hAnsi="Calibri"/>
        </w:rPr>
        <w:t xml:space="preserve">Konstituzioaren 149.1.30 artikuluan ezartzen da estatuaren eskumen osoa dela, besteak beste, </w:t>
      </w:r>
      <w:r>
        <w:rPr>
          <w:sz w:val="22"/>
          <w:i/>
          <w:iCs/>
          <w:rFonts w:ascii="Calibri" w:hAnsi="Calibri"/>
        </w:rPr>
        <w:t xml:space="preserve">titulu akademikoak eta lanbide-tituluak eskuratu, luzatu eta homologatzeko baldintzak arautzea, eta Konstituzioaren 27. artikulua garatzeko oinarrizko arauak ematea, botere publikoek alor horretan dituzten betebeharrak betetzen direla bermatzeko</w:t>
      </w:r>
      <w:r>
        <w:rPr>
          <w:sz w:val="22"/>
          <w:rFonts w:ascii="Calibri" w:hAnsi="Calibri"/>
        </w:rPr>
        <w:t xml:space="preserve">.</w:t>
      </w:r>
      <w:r>
        <w:rPr>
          <w:sz w:val="22"/>
          <w:i/>
          <w:rFonts w:ascii="Calibri" w:hAnsi="Calibri"/>
        </w:rPr>
        <w:t xml:space="preserve"> </w:t>
      </w:r>
    </w:p>
    <w:p w14:paraId="68E2F478" w14:textId="77777777" w:rsidR="00FF6FA2" w:rsidRPr="00FF6FA2" w:rsidRDefault="00DD0BAF" w:rsidP="008E6AC2">
      <w:pPr>
        <w:pStyle w:val="Style"/>
        <w:spacing w:before="100" w:beforeAutospacing="1" w:after="200" w:line="276" w:lineRule="auto"/>
        <w:ind w:left="5" w:firstLine="730"/>
        <w:jc w:val="both"/>
        <w:textAlignment w:val="baseline"/>
        <w:rPr>
          <w:sz w:val="22"/>
          <w:szCs w:val="22"/>
          <w:rFonts w:ascii="Calibri" w:hAnsi="Calibri" w:cs="Calibri"/>
        </w:rPr>
      </w:pPr>
      <w:r>
        <w:rPr>
          <w:sz w:val="22"/>
          <w:rFonts w:ascii="Calibri" w:hAnsi="Calibri"/>
        </w:rPr>
        <w:t xml:space="preserve">Konstituzioak, halaber, Estatuari esleitzen dio espainiar guztiek hezkuntzarako eskubidea osorik baliatu ahal izanen dutela ziurtatzeko betekizuna, Estatuari ematen baitio eskumen osoa </w:t>
      </w:r>
      <w:r>
        <w:rPr>
          <w:sz w:val="22"/>
          <w:i/>
          <w:iCs/>
          <w:rFonts w:ascii="Calibri" w:hAnsi="Calibri"/>
        </w:rPr>
        <w:t xml:space="preserve">eskubideak baliatzean eta betebeharrak betetzean espainiar guztiak berdinak izanen direla bermatzeko oinarrizko baldintzak arautzeko</w:t>
      </w:r>
      <w:r>
        <w:rPr>
          <w:sz w:val="22"/>
          <w:rFonts w:ascii="Calibri" w:hAnsi="Calibri"/>
        </w:rPr>
        <w:t xml:space="preserve">.</w:t>
      </w:r>
      <w:r>
        <w:rPr>
          <w:sz w:val="22"/>
          <w:i/>
          <w:rFonts w:ascii="Calibri" w:hAnsi="Calibri"/>
        </w:rPr>
        <w:t xml:space="preserve"> </w:t>
      </w:r>
    </w:p>
    <w:p w14:paraId="028E4C16" w14:textId="77777777" w:rsidR="00FF6FA2" w:rsidRPr="00FF6FA2" w:rsidRDefault="00DD0BAF" w:rsidP="008E6AC2">
      <w:pPr>
        <w:pStyle w:val="Style"/>
        <w:spacing w:before="100" w:beforeAutospacing="1" w:after="200" w:line="276" w:lineRule="auto"/>
        <w:ind w:left="5" w:firstLine="720"/>
        <w:jc w:val="both"/>
        <w:textAlignment w:val="baseline"/>
        <w:rPr>
          <w:sz w:val="22"/>
          <w:szCs w:val="22"/>
          <w:rFonts w:ascii="Calibri" w:hAnsi="Calibri" w:cs="Calibri"/>
        </w:rPr>
      </w:pPr>
      <w:r>
        <w:rPr>
          <w:sz w:val="22"/>
          <w:rFonts w:ascii="Calibri" w:hAnsi="Calibri"/>
        </w:rPr>
        <w:t xml:space="preserve">Baina Konstituzioak orobat aitortzen du erregioetako administrazioek zenbait eskumen hartzen ahalko dituztela bere gain, 149.3 artikuluan ezarritakoaren arabera, beren estatutuetan jasotako moduan.</w:t>
      </w:r>
      <w:r>
        <w:rPr>
          <w:sz w:val="22"/>
          <w:rFonts w:ascii="Calibri" w:hAnsi="Calibri"/>
        </w:rPr>
        <w:t xml:space="preserve"> </w:t>
      </w:r>
      <w:r>
        <w:rPr>
          <w:sz w:val="22"/>
          <w:rFonts w:ascii="Calibri" w:hAnsi="Calibri"/>
        </w:rPr>
        <w:t xml:space="preserve">Halere, hori beti egin behar da Konstituzioaren 1. artikuluan jasotzen diren oinarrizko printzipioekin bat etorriz; besteak beste, berdintasunaren printzipioarekin, zeina ordenamenduaren balio gorena baita.</w:t>
      </w:r>
      <w:r>
        <w:rPr>
          <w:sz w:val="22"/>
          <w:b/>
          <w:rFonts w:ascii="Calibri" w:hAnsi="Calibri"/>
        </w:rPr>
        <w:t xml:space="preserve"> </w:t>
      </w:r>
    </w:p>
    <w:p w14:paraId="3013D65F" w14:textId="40A9C9BC" w:rsidR="00015D70" w:rsidRPr="00FF6FA2" w:rsidRDefault="00DD0BAF" w:rsidP="008E6AC2">
      <w:pPr>
        <w:pStyle w:val="Style"/>
        <w:spacing w:before="100" w:beforeAutospacing="1" w:after="200" w:line="276" w:lineRule="auto"/>
        <w:ind w:left="5" w:firstLine="720"/>
        <w:jc w:val="both"/>
        <w:textAlignment w:val="baseline"/>
        <w:rPr>
          <w:sz w:val="22"/>
          <w:szCs w:val="22"/>
          <w:rFonts w:ascii="Calibri" w:hAnsi="Calibri" w:cs="Calibri"/>
        </w:rPr>
      </w:pPr>
      <w:r>
        <w:rPr>
          <w:sz w:val="22"/>
          <w:rFonts w:ascii="Calibri" w:hAnsi="Calibri"/>
        </w:rPr>
        <w:t xml:space="preserve">Halatan, nahiz eta erregioetako erakundeek, legez, hezkuntza-sistemaren zenbait alderdi arautzeko eta garatzeko aukera duten Espainian, ezin dute inolaz ere egin berdintasunaren printzipioa aintzat hartu gabe.</w:t>
      </w:r>
      <w:r>
        <w:rPr>
          <w:sz w:val="22"/>
          <w:rFonts w:ascii="Calibri" w:hAnsi="Calibri"/>
        </w:rPr>
        <w:t xml:space="preserve"> </w:t>
      </w:r>
      <w:r>
        <w:rPr>
          <w:sz w:val="22"/>
          <w:rFonts w:ascii="Calibri" w:hAnsi="Calibri"/>
        </w:rPr>
        <w:t xml:space="preserve">Hezkuntza da, hain zuzen ere, espainiar gazteen jatorri sozial edo ekonomikotik heldu diren desberdinkeriak zuzentzen ahal diren leku pribilegiatua.</w:t>
      </w:r>
      <w:r>
        <w:rPr>
          <w:sz w:val="22"/>
          <w:rFonts w:ascii="Calibri" w:hAnsi="Calibri"/>
        </w:rPr>
        <w:t xml:space="preserve"> </w:t>
      </w:r>
    </w:p>
    <w:p w14:paraId="15DFE247" w14:textId="77777777" w:rsidR="00FF6FA2" w:rsidRPr="00FF6FA2" w:rsidRDefault="00DD0BAF" w:rsidP="008E6AC2">
      <w:pPr>
        <w:pStyle w:val="Style"/>
        <w:spacing w:before="100" w:beforeAutospacing="1" w:after="200" w:line="276" w:lineRule="auto"/>
        <w:ind w:firstLine="730"/>
        <w:jc w:val="both"/>
        <w:textAlignment w:val="baseline"/>
        <w:rPr>
          <w:sz w:val="22"/>
          <w:szCs w:val="22"/>
          <w:rFonts w:ascii="Calibri" w:hAnsi="Calibri" w:cs="Calibri"/>
        </w:rPr>
      </w:pPr>
      <w:r>
        <w:rPr>
          <w:sz w:val="22"/>
          <w:rFonts w:ascii="Calibri" w:hAnsi="Calibri"/>
        </w:rPr>
        <w:t xml:space="preserve">Joera politiko bateko nahiz besteko gobernuek hezkuntzaren arloan egin dituzten eskumen-eskualdatze ugarien ondorioz, hezkuntzaren arloan diferentzia handiak daude erregioen artean.</w:t>
      </w:r>
      <w:r>
        <w:rPr>
          <w:sz w:val="22"/>
          <w:rFonts w:ascii="Calibri" w:hAnsi="Calibri"/>
        </w:rPr>
        <w:t xml:space="preserve"> </w:t>
      </w:r>
      <w:r>
        <w:rPr>
          <w:sz w:val="22"/>
          <w:rFonts w:ascii="Calibri" w:hAnsi="Calibri"/>
        </w:rPr>
        <w:t xml:space="preserve">Diferentzia horien adibide garbia da Unibertsitatean Sartzeko Ebaluazioa.</w:t>
      </w:r>
      <w:r>
        <w:rPr>
          <w:sz w:val="22"/>
          <w:rFonts w:ascii="Calibri" w:hAnsi="Calibri"/>
        </w:rPr>
        <w:t xml:space="preserve"> </w:t>
      </w:r>
    </w:p>
    <w:p w14:paraId="02809467" w14:textId="2809AA88" w:rsidR="00015D70" w:rsidRPr="00FF6FA2" w:rsidRDefault="00DD0BAF" w:rsidP="008E6AC2">
      <w:pPr>
        <w:pStyle w:val="Style"/>
        <w:spacing w:before="100" w:beforeAutospacing="1" w:after="200" w:line="276" w:lineRule="auto"/>
        <w:ind w:left="5" w:firstLine="730"/>
        <w:jc w:val="both"/>
        <w:textAlignment w:val="baseline"/>
        <w:rPr>
          <w:sz w:val="22"/>
          <w:szCs w:val="22"/>
          <w:rFonts w:ascii="Calibri" w:hAnsi="Calibri" w:cs="Calibri"/>
        </w:rPr>
      </w:pPr>
      <w:r>
        <w:rPr>
          <w:sz w:val="22"/>
          <w:rFonts w:ascii="Calibri" w:hAnsi="Calibri"/>
        </w:rPr>
        <w:t xml:space="preserve">USE da Espainiako unibertsitate-sisteman sartzea ahalbidetzen duen proba, ezinbestean gainditu behar dena unibertsitate-gradu bat ikasi nahi baldin bada.</w:t>
      </w:r>
      <w:r>
        <w:rPr>
          <w:sz w:val="22"/>
          <w:rFonts w:ascii="Calibri" w:hAnsi="Calibri"/>
        </w:rPr>
        <w:t xml:space="preserve"> </w:t>
      </w:r>
      <w:r>
        <w:rPr>
          <w:sz w:val="22"/>
          <w:rFonts w:ascii="Calibri" w:hAnsi="Calibri"/>
        </w:rPr>
        <w:t xml:space="preserve">Halere, Estatuak erregioetako administrazioei eskumenak etengabe eskualdatzeak eragin du Espainian hamazazpi USE ezberdin egotea.</w:t>
      </w:r>
      <w:r>
        <w:rPr>
          <w:sz w:val="22"/>
          <w:rFonts w:ascii="Calibri" w:hAnsi="Calibri"/>
        </w:rPr>
        <w:t xml:space="preserve"> </w:t>
      </w:r>
      <w:r>
        <w:rPr>
          <w:sz w:val="22"/>
          <w:rFonts w:ascii="Calibri" w:hAnsi="Calibri"/>
        </w:rPr>
        <w:t xml:space="preserve">Hori zentzugabea da inondik ere, baita ekitatearen ikuspuntutik ikusita ere.</w:t>
      </w:r>
      <w:r>
        <w:rPr>
          <w:sz w:val="22"/>
          <w:rFonts w:ascii="Calibri" w:hAnsi="Calibri"/>
        </w:rPr>
        <w:t xml:space="preserve"> </w:t>
      </w:r>
    </w:p>
    <w:p w14:paraId="19C9E1E0" w14:textId="78E05B2B" w:rsidR="00015D70" w:rsidRPr="00FF6FA2" w:rsidRDefault="00DD0BAF" w:rsidP="008E6AC2">
      <w:pPr>
        <w:pStyle w:val="Style"/>
        <w:spacing w:before="100" w:beforeAutospacing="1" w:after="200" w:line="276" w:lineRule="auto"/>
        <w:ind w:firstLine="730"/>
        <w:jc w:val="both"/>
        <w:textAlignment w:val="baseline"/>
        <w:rPr>
          <w:sz w:val="22"/>
          <w:szCs w:val="22"/>
          <w:rFonts w:ascii="Calibri" w:hAnsi="Calibri" w:cs="Calibri"/>
        </w:rPr>
      </w:pPr>
      <w:r>
        <w:rPr>
          <w:sz w:val="22"/>
          <w:rFonts w:ascii="Calibri" w:hAnsi="Calibri"/>
        </w:rPr>
        <w:t xml:space="preserve">Egoera horren zuzeneko ondorioetako bat da azterketaren emaitzetan ikus daitekeen aldea, erregioa zein den.</w:t>
      </w:r>
      <w:r>
        <w:rPr>
          <w:sz w:val="22"/>
          <w:rFonts w:ascii="Calibri" w:hAnsi="Calibri"/>
        </w:rPr>
        <w:t xml:space="preserve"> </w:t>
      </w:r>
      <w:r>
        <w:rPr>
          <w:sz w:val="22"/>
          <w:rFonts w:ascii="Calibri" w:hAnsi="Calibri"/>
        </w:rPr>
        <w:t xml:space="preserve">Adibidez, 2022an, USEren fase orokor arruntean bikainen portzentajea % 2,1ekoa izan zen Valentziako Erkidegoan, eta Asturiasko Printzerrian, berriz, % 13,6koa.</w:t>
      </w:r>
      <w:r>
        <w:rPr>
          <w:sz w:val="22"/>
          <w:rFonts w:ascii="Calibri" w:hAnsi="Calibri"/>
        </w:rPr>
        <w:t xml:space="preserve"> </w:t>
      </w:r>
      <w:r>
        <w:rPr>
          <w:sz w:val="22"/>
          <w:rFonts w:ascii="Calibri" w:hAnsi="Calibri"/>
        </w:rPr>
        <w:t xml:space="preserve">Halaber, berariazko faseko bikainen portzentajea % 6,7koa izan zen Balear Uharteetan, eta % 19tik goitikoa Asturiasko Printzerrian.</w:t>
      </w:r>
      <w:r>
        <w:rPr>
          <w:sz w:val="22"/>
          <w:rFonts w:ascii="Calibri" w:hAnsi="Calibri"/>
        </w:rPr>
        <w:t xml:space="preserve"> </w:t>
      </w:r>
    </w:p>
    <w:p w14:paraId="70EB1987" w14:textId="668C7BE9" w:rsidR="00015D70" w:rsidRPr="00FF6FA2" w:rsidRDefault="00DD0BAF" w:rsidP="008E6AC2">
      <w:pPr>
        <w:pStyle w:val="Style"/>
        <w:spacing w:before="100" w:beforeAutospacing="1" w:after="200" w:line="276" w:lineRule="auto"/>
        <w:ind w:left="5" w:firstLine="730"/>
        <w:jc w:val="both"/>
        <w:textAlignment w:val="baseline"/>
        <w:rPr>
          <w:sz w:val="22"/>
          <w:szCs w:val="22"/>
          <w:rFonts w:ascii="Calibri" w:hAnsi="Calibri" w:cs="Calibri"/>
        </w:rPr>
      </w:pPr>
      <w:r>
        <w:rPr>
          <w:sz w:val="22"/>
          <w:rFonts w:ascii="Calibri" w:hAnsi="Calibri"/>
        </w:rPr>
        <w:t xml:space="preserve">Orobat nabarmendu behar da ezen PISAren azken txostenean, zeina mundu osoko herrialdeetako hezkuntza-maila ebaluatzeko ELGAk ezarritako irizpideei jarraikiz egin baitzen, esaten dela Espainiako ikasleen batezbesteko puntuazioa 481 puntukoa dela, ELGAko batezbestekoa baino nabarmen baxuagoa (489) eta Europar Batasunekoa baino nabarmen baxuagoa (494).</w:t>
      </w:r>
      <w:r>
        <w:rPr>
          <w:sz w:val="22"/>
          <w:i/>
          <w:rFonts w:ascii="Calibri" w:hAnsi="Calibri"/>
        </w:rPr>
        <w:t xml:space="preserve"> </w:t>
      </w:r>
      <w:r>
        <w:rPr>
          <w:sz w:val="22"/>
          <w:rFonts w:ascii="Calibri" w:hAnsi="Calibri"/>
        </w:rPr>
        <w:t xml:space="preserve">Txosten horretan agerian uzten dira Espainiako erregioen arteko desberdintasunak ere: batezbesteko puntuazio baxuenak Ceutari (411) eta Melillari dagozkie (432), Espainiako batezbestekoa baino 70 eta 50 puntu gutxiago hurrenez hurren, eta Kanariar Uharteetakotik (460) eta Andaluziakotik (467) urrun, horiek baitira Espainiako autonomia-erkidegoen artean baxuenak, Espainiako batezbestekotik eta ELGAko herrialdeetakotik nabarmen urrun.</w:t>
      </w:r>
      <w:r>
        <w:rPr>
          <w:sz w:val="22"/>
          <w:i/>
          <w:rFonts w:ascii="Calibri" w:hAnsi="Calibri"/>
        </w:rPr>
        <w:t xml:space="preserve"> </w:t>
      </w:r>
    </w:p>
    <w:p w14:paraId="338B713D" w14:textId="1230E8DC" w:rsidR="00015D70" w:rsidRPr="00FF6FA2" w:rsidRDefault="00DD0BAF" w:rsidP="008E6AC2">
      <w:pPr>
        <w:pStyle w:val="Style"/>
        <w:spacing w:before="100" w:beforeAutospacing="1" w:after="200" w:line="276" w:lineRule="auto"/>
        <w:ind w:firstLine="730"/>
        <w:jc w:val="both"/>
        <w:textAlignment w:val="baseline"/>
        <w:rPr>
          <w:sz w:val="22"/>
          <w:szCs w:val="22"/>
          <w:rFonts w:ascii="Calibri" w:hAnsi="Calibri" w:cs="Calibri"/>
        </w:rPr>
      </w:pPr>
      <w:r>
        <w:rPr>
          <w:sz w:val="22"/>
          <w:rFonts w:ascii="Calibri" w:hAnsi="Calibri"/>
        </w:rPr>
        <w:t xml:space="preserve">Baina Gobernuak, halere, ez du egoera hori zuzentzeko neurririk hartu XIV. legegintzaldian.</w:t>
      </w:r>
      <w:r>
        <w:rPr>
          <w:sz w:val="22"/>
          <w:rFonts w:ascii="Calibri" w:hAnsi="Calibri"/>
        </w:rPr>
        <w:t xml:space="preserve"> </w:t>
      </w:r>
      <w:r>
        <w:rPr>
          <w:sz w:val="22"/>
          <w:rFonts w:ascii="Calibri" w:hAnsi="Calibri"/>
        </w:rPr>
        <w:t xml:space="preserve">Are gehiago, Espainiako Gobernuak, Hezkuntzari buruzko maiatzaren 3ko 2/2006 Lege Organikoa aldatzen duen abenduaren 29ko 3/2020 Lege Organikoaren bidez, USE Espainiako proba bakarra bihurtzeko aldatzeari uko egiteaz gain jaitsi egin du eskola-etapako hezkuntza-sistemaren maila, gero eta generikoagoak eta zehaztugabeagoak diren curriculumak taxutu baititu, eta ikasleei hurrengo mailara pasatzen utzi baitie, nahiz eta arlo guztiak ez gainditu.</w:t>
      </w:r>
      <w:r>
        <w:rPr>
          <w:sz w:val="22"/>
          <w:rFonts w:ascii="Calibri" w:hAnsi="Calibri"/>
        </w:rPr>
        <w:t xml:space="preserve"> </w:t>
      </w:r>
    </w:p>
    <w:p w14:paraId="0783F86C" w14:textId="77777777" w:rsidR="00015D70" w:rsidRPr="00FF6FA2" w:rsidRDefault="00DD0BAF" w:rsidP="008E6AC2">
      <w:pPr>
        <w:pStyle w:val="Style"/>
        <w:spacing w:before="100" w:beforeAutospacing="1" w:after="200" w:line="276" w:lineRule="auto"/>
        <w:ind w:firstLine="725"/>
        <w:jc w:val="both"/>
        <w:textAlignment w:val="baseline"/>
        <w:rPr>
          <w:sz w:val="22"/>
          <w:szCs w:val="22"/>
          <w:rFonts w:ascii="Calibri" w:hAnsi="Calibri" w:cs="Calibri"/>
        </w:rPr>
      </w:pPr>
      <w:r>
        <w:rPr>
          <w:sz w:val="22"/>
          <w:rFonts w:ascii="Calibri" w:hAnsi="Calibri"/>
        </w:rPr>
        <w:t xml:space="preserve">Hori guztia bateraezina da botere publikoek berdintasun-printzipioa babestu beharrarekin, printzipio horrek, ordenamenduaren balio gorena den aldetik, Espainiako hezkuntza-sistemaren oinarrian egon behar duelako.</w:t>
      </w:r>
      <w:r>
        <w:rPr>
          <w:sz w:val="22"/>
          <w:rFonts w:ascii="Calibri" w:hAnsi="Calibri"/>
        </w:rPr>
        <w:t xml:space="preserve"> </w:t>
      </w:r>
      <w:r>
        <w:rPr>
          <w:sz w:val="22"/>
          <w:rFonts w:ascii="Calibri" w:hAnsi="Calibri"/>
        </w:rPr>
        <w:t xml:space="preserve">Egungo eskumen-antolamendua zeharo eragingabea dela ikusi ahal izan da espainiar ikasle guztiei unibertsitatean sartzeko aukera-berdintasuna bermatzeko orduan, eta Espainiako Gobernuaren egungo hezkuntza-politikak arazo hori areagotu besterik ez du egin.</w:t>
      </w:r>
      <w:r>
        <w:rPr>
          <w:sz w:val="22"/>
          <w:rFonts w:ascii="Calibri" w:hAnsi="Calibri"/>
        </w:rPr>
        <w:t xml:space="preserve"> </w:t>
      </w:r>
    </w:p>
    <w:p w14:paraId="6CDDF0BE" w14:textId="77777777" w:rsidR="00015D70" w:rsidRPr="00FF6FA2" w:rsidRDefault="00DD0BAF" w:rsidP="008E6AC2">
      <w:pPr>
        <w:pStyle w:val="Style"/>
        <w:spacing w:before="100" w:beforeAutospacing="1" w:after="200" w:line="276" w:lineRule="auto"/>
        <w:ind w:firstLine="725"/>
        <w:jc w:val="both"/>
        <w:textAlignment w:val="baseline"/>
        <w:rPr>
          <w:sz w:val="22"/>
          <w:szCs w:val="22"/>
          <w:rFonts w:ascii="Calibri" w:hAnsi="Calibri" w:cs="Calibri"/>
        </w:rPr>
      </w:pPr>
      <w:r>
        <w:rPr>
          <w:sz w:val="22"/>
          <w:rFonts w:ascii="Calibri" w:hAnsi="Calibri"/>
        </w:rPr>
        <w:t xml:space="preserve">Laburbilduz, Estatuak du, Espainiako Konstituzioaren 27. artikuluan ezarritakoa betez, espainiarren arteko berdintasuna bermatzeko oinarrizko baldintza ezartzeko eskumen osoa eta saihestezina, eta horrek berekin dakar ziurtatzea espainiar guztiek aukera-berdintasunez eduki ahal izatea hezkuntza, baita unibertsitateko hezkuntza ere.</w:t>
      </w:r>
      <w:r>
        <w:rPr>
          <w:sz w:val="22"/>
          <w:rFonts w:ascii="Calibri" w:hAnsi="Calibri"/>
        </w:rPr>
        <w:t xml:space="preserve"> </w:t>
      </w:r>
      <w:r>
        <w:rPr>
          <w:sz w:val="22"/>
          <w:rFonts w:ascii="Calibri" w:hAnsi="Calibri"/>
        </w:rPr>
        <w:t xml:space="preserve">Halere, Espainiako lurralde-ereduaren gabeziek eta Pedro Sánchezen Gobernuaren hezkuntza-politika negargarriak desberdintasun nabarmenak eragin dituzte espainiarren artean, bereziki larriak direnak unibertsitatean sartzeari dagokionez.</w:t>
      </w:r>
      <w:r>
        <w:rPr>
          <w:sz w:val="22"/>
          <w:rFonts w:ascii="Calibri" w:hAnsi="Calibri"/>
        </w:rPr>
        <w:t xml:space="preserve"> </w:t>
      </w:r>
    </w:p>
    <w:p w14:paraId="7E1875FE" w14:textId="77777777" w:rsidR="00FF6FA2" w:rsidRPr="00FF6FA2" w:rsidRDefault="00DD0BAF" w:rsidP="008E6AC2">
      <w:pPr>
        <w:pStyle w:val="Style"/>
        <w:spacing w:before="100" w:beforeAutospacing="1" w:after="200" w:line="276" w:lineRule="auto"/>
        <w:ind w:firstLine="725"/>
        <w:jc w:val="both"/>
        <w:textAlignment w:val="baseline"/>
        <w:rPr>
          <w:sz w:val="22"/>
          <w:szCs w:val="22"/>
          <w:rFonts w:ascii="Calibri" w:hAnsi="Calibri" w:cs="Calibri"/>
        </w:rPr>
      </w:pPr>
      <w:r>
        <w:rPr>
          <w:sz w:val="22"/>
          <w:rFonts w:ascii="Calibri" w:hAnsi="Calibri"/>
        </w:rPr>
        <w:t xml:space="preserve">Halatan, sistema autonomikoan oinarritzen den hezkuntzaren deszentralizazioa negatiboa da eraginkortasun hutsaren ikuspuntutik, eta bestalde, urratu egiten du espainiarren arteko berdintasun-printzipioa, eta egoera bidegabeak gertatzea ahalbidetzen du, USE dela-eta erregioen artean ematen diren desberdintasunak ikusita.</w:t>
      </w:r>
      <w:r>
        <w:rPr>
          <w:sz w:val="22"/>
          <w:rFonts w:ascii="Calibri" w:hAnsi="Calibri"/>
        </w:rPr>
        <w:t xml:space="preserve"> </w:t>
      </w:r>
      <w:r>
        <w:rPr>
          <w:sz w:val="22"/>
          <w:rFonts w:ascii="Calibri" w:hAnsi="Calibri"/>
        </w:rPr>
        <w:t xml:space="preserve">Herrialde bereko herritarren arteko desberdintasunak eragiten dituen eskumen-eskualdatzea narriadura instituzional larriaren sintoma da, are gehiago eskumen horiek hezkuntza bezain oinarrizkoa den eskubide bati badagozkio.</w:t>
      </w:r>
      <w:r>
        <w:rPr>
          <w:sz w:val="22"/>
          <w:rFonts w:ascii="Calibri" w:hAnsi="Calibri"/>
        </w:rPr>
        <w:t xml:space="preserve"> </w:t>
      </w:r>
    </w:p>
    <w:p w14:paraId="57C0860E" w14:textId="48F8711E" w:rsidR="00015D70" w:rsidRPr="00FF6FA2" w:rsidRDefault="00DD0BAF" w:rsidP="008E6AC2">
      <w:pPr>
        <w:pStyle w:val="Style"/>
        <w:spacing w:before="100" w:beforeAutospacing="1" w:after="200" w:line="276" w:lineRule="auto"/>
        <w:ind w:firstLine="730"/>
        <w:jc w:val="both"/>
        <w:textAlignment w:val="baseline"/>
        <w:rPr>
          <w:sz w:val="22"/>
          <w:szCs w:val="22"/>
          <w:rFonts w:ascii="Calibri" w:hAnsi="Calibri" w:cs="Calibri"/>
        </w:rPr>
      </w:pPr>
      <w:r>
        <w:rPr>
          <w:sz w:val="22"/>
          <w:rFonts w:ascii="Calibri" w:hAnsi="Calibri"/>
        </w:rPr>
        <w:t xml:space="preserve">Hori guztia ikusita ondoriozta daiteke ezen Espainiako Gobernuak, darabilen hezkuntza-politikarekin, diferentzia bidegabe horiek areagotu dituela eta Espainian hezkuntza-maila jaistea eragin duela, bai kalitate akademikoaren ikuspuntutik bai kalitate demokratikoaren ikuspuntutik.</w:t>
      </w:r>
      <w:r>
        <w:rPr>
          <w:sz w:val="22"/>
          <w:rFonts w:ascii="Calibri" w:hAnsi="Calibri"/>
        </w:rPr>
        <w:t xml:space="preserve"> </w:t>
      </w:r>
    </w:p>
    <w:p w14:paraId="6CCBB99D" w14:textId="79620BBF" w:rsidR="00FF6FA2" w:rsidRPr="00FF6FA2" w:rsidRDefault="00DD0BAF" w:rsidP="008E6AC2">
      <w:pPr>
        <w:pStyle w:val="Style"/>
        <w:spacing w:before="100" w:beforeAutospacing="1" w:after="200" w:line="276" w:lineRule="auto"/>
        <w:ind w:firstLine="725"/>
        <w:jc w:val="both"/>
        <w:textAlignment w:val="baseline"/>
        <w:rPr>
          <w:sz w:val="22"/>
          <w:szCs w:val="22"/>
          <w:rFonts w:ascii="Calibri" w:hAnsi="Calibri" w:cs="Calibri"/>
        </w:rPr>
      </w:pPr>
      <w:r>
        <w:rPr>
          <w:sz w:val="22"/>
          <w:rFonts w:ascii="Calibri" w:hAnsi="Calibri"/>
        </w:rPr>
        <w:t xml:space="preserve">Hortaz, premiazkoa da hezkuntza-sistema aldatzea, espainiar gazteen aukera-berdintasuna bermatzetik hasita, lurralde nazional guztian Unibertsitatean Sartzeko Ebaluazioaren proba bakarra jarrita.</w:t>
      </w:r>
      <w:r>
        <w:rPr>
          <w:sz w:val="22"/>
          <w:rFonts w:ascii="Calibri" w:hAnsi="Calibri"/>
        </w:rPr>
        <w:t xml:space="preserve"> </w:t>
      </w:r>
      <w:r>
        <w:rPr>
          <w:sz w:val="22"/>
          <w:rFonts w:ascii="Calibri" w:hAnsi="Calibri"/>
        </w:rPr>
        <w:t xml:space="preserve">Espainia osorako USE bakarra jartzea oinarri-oinarrizkoa da Espainiako unibertsitate-sistema hobetzeko eta, ondorioz, Nazioaren oparotasun ekonomiko eta sozialerako.</w:t>
      </w:r>
      <w:r>
        <w:rPr>
          <w:sz w:val="22"/>
          <w:rFonts w:ascii="Calibri" w:hAnsi="Calibri"/>
        </w:rPr>
        <w:t xml:space="preserve"> </w:t>
      </w:r>
    </w:p>
    <w:p w14:paraId="37465DEE" w14:textId="0B739946" w:rsidR="00015D70" w:rsidRPr="00FF6FA2" w:rsidRDefault="00DD0BAF" w:rsidP="008E6AC2">
      <w:pPr>
        <w:pStyle w:val="Style"/>
        <w:spacing w:before="100" w:beforeAutospacing="1" w:after="200" w:line="276" w:lineRule="auto"/>
        <w:ind w:left="720"/>
        <w:textAlignment w:val="baseline"/>
        <w:rPr>
          <w:sz w:val="22"/>
          <w:szCs w:val="22"/>
          <w:rFonts w:ascii="Calibri" w:hAnsi="Calibri" w:cs="Calibri"/>
        </w:rPr>
      </w:pPr>
      <w:r>
        <w:rPr>
          <w:sz w:val="22"/>
          <w:rFonts w:ascii="Calibri" w:hAnsi="Calibri"/>
        </w:rPr>
        <w:t xml:space="preserve">Hori guztia ikusita,</w:t>
      </w:r>
      <w:r>
        <w:rPr>
          <w:sz w:val="22"/>
          <w:rFonts w:ascii="Calibri" w:hAnsi="Calibri"/>
        </w:rPr>
        <w:t xml:space="preserve"> </w:t>
      </w:r>
    </w:p>
    <w:p w14:paraId="3DEB621D" w14:textId="77777777" w:rsidR="00FF6FA2" w:rsidRPr="00FF6FA2" w:rsidRDefault="00DD0BAF" w:rsidP="008E6AC2">
      <w:pPr>
        <w:pStyle w:val="Style"/>
        <w:spacing w:before="100" w:beforeAutospacing="1" w:after="200" w:line="276" w:lineRule="auto"/>
        <w:ind w:firstLine="734"/>
        <w:jc w:val="both"/>
        <w:textAlignment w:val="baseline"/>
        <w:rPr>
          <w:sz w:val="22"/>
          <w:szCs w:val="22"/>
          <w:rFonts w:ascii="Calibri" w:hAnsi="Calibri" w:cs="Calibri"/>
        </w:rPr>
      </w:pPr>
      <w:r>
        <w:rPr>
          <w:sz w:val="22"/>
          <w:rFonts w:ascii="Calibri" w:hAnsi="Calibri"/>
        </w:rPr>
        <w:t xml:space="preserve">Nafarroako Parlamentuak Nafarroako Gobernua premiatzen du Nazioko Gobernua premia dezan egin beharreko lege-aldaketak egitera Unibertsitatean Sartzeko Proba bakarra ezar dadin Espainiako lurralde osoan, espainiar ikasleen arteko berdintasuna bermatzeko, proba zein tokitan egiten den ere.</w:t>
      </w:r>
      <w:r>
        <w:rPr>
          <w:sz w:val="22"/>
          <w:rFonts w:ascii="Calibri" w:hAnsi="Calibri"/>
        </w:rPr>
        <w:t xml:space="preserve"> </w:t>
      </w:r>
    </w:p>
    <w:p w14:paraId="256269C4" w14:textId="77777777" w:rsidR="00994216" w:rsidRDefault="00DD0BAF" w:rsidP="008E6AC2">
      <w:pPr>
        <w:pStyle w:val="Style"/>
        <w:spacing w:before="100" w:beforeAutospacing="1" w:after="200" w:line="276" w:lineRule="auto"/>
        <w:textAlignment w:val="baseline"/>
        <w:rPr>
          <w:sz w:val="22"/>
          <w:szCs w:val="22"/>
          <w:rFonts w:ascii="Calibri" w:eastAsia="Arial" w:hAnsi="Calibri" w:cs="Calibri"/>
        </w:rPr>
      </w:pPr>
      <w:r>
        <w:rPr>
          <w:sz w:val="22"/>
          <w:rFonts w:ascii="Calibri" w:hAnsi="Calibri"/>
        </w:rPr>
        <w:t xml:space="preserve">Iruñean, 2023ko urriaren 19an</w:t>
      </w:r>
    </w:p>
    <w:p w14:paraId="2E7B4BE6" w14:textId="7F7CAE07" w:rsidR="00015D70" w:rsidRPr="00FF6FA2" w:rsidRDefault="00994216" w:rsidP="008E6AC2">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Mª Teresa Nosti Izquierdo</w:t>
      </w:r>
      <w:r>
        <w:rPr>
          <w:sz w:val="22"/>
          <w:rFonts w:ascii="Calibri" w:hAnsi="Calibri"/>
        </w:rPr>
        <w:t xml:space="preserve"> </w:t>
      </w:r>
    </w:p>
    <w:sectPr w:rsidR="00015D70" w:rsidRPr="00FF6FA2">
      <w:type w:val="continuous"/>
      <w:pgSz w:w="11900" w:h="16840"/>
      <w:pgMar w:top="2146" w:right="1428" w:bottom="360" w:left="144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15D70"/>
    <w:rsid w:val="00015D70"/>
    <w:rsid w:val="004A235F"/>
    <w:rsid w:val="005E0F92"/>
    <w:rsid w:val="005F6961"/>
    <w:rsid w:val="00745CCE"/>
    <w:rsid w:val="007F2F14"/>
    <w:rsid w:val="008E6AC2"/>
    <w:rsid w:val="00994216"/>
    <w:rsid w:val="00A91BAC"/>
    <w:rsid w:val="00DD0BAF"/>
    <w:rsid w:val="00FF6F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1C80"/>
  <w15:docId w15:val="{7E468770-5579-4E15-9DA7-A73F1695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1198</Words>
  <Characters>6592</Characters>
  <Application>Microsoft Office Word</Application>
  <DocSecurity>0</DocSecurity>
  <Lines>54</Lines>
  <Paragraphs>15</Paragraphs>
  <ScaleCrop>false</ScaleCrop>
  <Company>HP Inc.</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23MOC-53</dc:title>
  <dc:creator>informatica</dc:creator>
  <cp:keywords>CreatedByIRIS_Readiris_17.0</cp:keywords>
  <cp:lastModifiedBy>Mauleón, Fernando</cp:lastModifiedBy>
  <cp:revision>11</cp:revision>
  <dcterms:created xsi:type="dcterms:W3CDTF">2023-10-20T07:48:00Z</dcterms:created>
  <dcterms:modified xsi:type="dcterms:W3CDTF">2023-10-20T07:55:00Z</dcterms:modified>
</cp:coreProperties>
</file>