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B7DC" w14:textId="268DC751" w:rsidR="0088712F" w:rsidRDefault="005C03DB" w:rsidP="008F3BE7">
      <w:pPr>
        <w:spacing w:line="360" w:lineRule="auto"/>
        <w:jc w:val="both"/>
        <w:rPr>
          <w:rFonts w:ascii="Arial" w:hAnsi="Arial" w:cs="Arial"/>
          <w:lang w:val="es-ES_tradnl"/>
        </w:rPr>
      </w:pPr>
      <w:r w:rsidRPr="0088712F">
        <w:rPr>
          <w:rFonts w:ascii="Arial" w:hAnsi="Arial" w:cs="Arial"/>
          <w:lang w:val="es-ES_tradnl"/>
        </w:rPr>
        <w:t>El</w:t>
      </w:r>
      <w:r w:rsidR="00864DCD" w:rsidRPr="0088712F">
        <w:rPr>
          <w:rFonts w:ascii="Arial" w:hAnsi="Arial" w:cs="Arial"/>
          <w:lang w:val="es-ES_tradnl"/>
        </w:rPr>
        <w:t xml:space="preserve"> Consejer</w:t>
      </w:r>
      <w:r w:rsidRPr="0088712F">
        <w:rPr>
          <w:rFonts w:ascii="Arial" w:hAnsi="Arial" w:cs="Arial"/>
          <w:lang w:val="es-ES_tradnl"/>
        </w:rPr>
        <w:t>o</w:t>
      </w:r>
      <w:r w:rsidR="00864DCD" w:rsidRPr="0088712F">
        <w:rPr>
          <w:rFonts w:ascii="Arial" w:hAnsi="Arial" w:cs="Arial"/>
          <w:lang w:val="es-ES_tradnl"/>
        </w:rPr>
        <w:t xml:space="preserve"> del Departamento de Econom</w:t>
      </w:r>
      <w:r w:rsidR="0088712F" w:rsidRPr="0088712F">
        <w:rPr>
          <w:rFonts w:ascii="Arial" w:hAnsi="Arial" w:cs="Arial"/>
          <w:lang w:val="es-ES_tradnl"/>
        </w:rPr>
        <w:t>í</w:t>
      </w:r>
      <w:r w:rsidR="00864DCD" w:rsidRPr="0088712F">
        <w:rPr>
          <w:rFonts w:ascii="Arial" w:hAnsi="Arial" w:cs="Arial"/>
          <w:lang w:val="es-ES_tradnl"/>
        </w:rPr>
        <w:t xml:space="preserve">a y Hacienda, </w:t>
      </w:r>
      <w:r w:rsidR="0088712F" w:rsidRPr="0088712F">
        <w:rPr>
          <w:rFonts w:ascii="Arial" w:hAnsi="Arial" w:cs="Arial"/>
          <w:lang w:val="es-ES_tradnl"/>
        </w:rPr>
        <w:t>en relación con</w:t>
      </w:r>
      <w:r w:rsidR="00864DCD" w:rsidRPr="0088712F">
        <w:rPr>
          <w:rFonts w:ascii="Arial" w:hAnsi="Arial" w:cs="Arial"/>
          <w:lang w:val="es-ES_tradnl"/>
        </w:rPr>
        <w:t xml:space="preserve"> la Pregunta escrita formulada </w:t>
      </w:r>
      <w:r w:rsidR="001C5BBC" w:rsidRPr="0088712F">
        <w:rPr>
          <w:rFonts w:ascii="Arial" w:hAnsi="Arial" w:cs="Arial"/>
          <w:lang w:val="es-ES_tradnl"/>
        </w:rPr>
        <w:t xml:space="preserve">por </w:t>
      </w:r>
      <w:r w:rsidR="00797449" w:rsidRPr="0088712F">
        <w:rPr>
          <w:rFonts w:ascii="Arial" w:hAnsi="Arial" w:cs="Arial"/>
          <w:lang w:val="es-ES_tradnl"/>
        </w:rPr>
        <w:t xml:space="preserve">D. </w:t>
      </w:r>
      <w:r w:rsidR="008F3BE7" w:rsidRPr="0088712F">
        <w:rPr>
          <w:rFonts w:ascii="Arial" w:hAnsi="Arial" w:cs="Arial"/>
          <w:lang w:val="es-ES_tradnl"/>
        </w:rPr>
        <w:t>Javier Arza Porras</w:t>
      </w:r>
      <w:r w:rsidR="001C5BBC" w:rsidRPr="0088712F">
        <w:rPr>
          <w:rFonts w:ascii="Arial" w:hAnsi="Arial" w:cs="Arial"/>
          <w:lang w:val="es-ES_tradnl"/>
        </w:rPr>
        <w:t>, parlamentari</w:t>
      </w:r>
      <w:r w:rsidR="00797449" w:rsidRPr="0088712F">
        <w:rPr>
          <w:rFonts w:ascii="Arial" w:hAnsi="Arial" w:cs="Arial"/>
          <w:lang w:val="es-ES_tradnl"/>
        </w:rPr>
        <w:t>o</w:t>
      </w:r>
      <w:r w:rsidR="001C5BBC" w:rsidRPr="0088712F">
        <w:rPr>
          <w:rFonts w:ascii="Arial" w:hAnsi="Arial" w:cs="Arial"/>
          <w:lang w:val="es-ES_tradnl"/>
        </w:rPr>
        <w:t xml:space="preserve"> foral adscrit</w:t>
      </w:r>
      <w:r w:rsidR="00797449" w:rsidRPr="0088712F">
        <w:rPr>
          <w:rFonts w:ascii="Arial" w:hAnsi="Arial" w:cs="Arial"/>
          <w:lang w:val="es-ES_tradnl"/>
        </w:rPr>
        <w:t>o</w:t>
      </w:r>
      <w:r w:rsidR="001C5BBC" w:rsidRPr="0088712F">
        <w:rPr>
          <w:rFonts w:ascii="Arial" w:hAnsi="Arial" w:cs="Arial"/>
          <w:lang w:val="es-ES_tradnl"/>
        </w:rPr>
        <w:t xml:space="preserve"> al Grupo Parlamentario </w:t>
      </w:r>
      <w:r w:rsidR="00561BAD" w:rsidRPr="0088712F">
        <w:rPr>
          <w:rFonts w:ascii="Arial" w:hAnsi="Arial" w:cs="Arial"/>
          <w:lang w:val="es-ES_tradnl"/>
        </w:rPr>
        <w:t>EH Bildu-Nafarroa</w:t>
      </w:r>
      <w:r w:rsidR="001C5BBC" w:rsidRPr="0088712F">
        <w:rPr>
          <w:rFonts w:ascii="Arial" w:hAnsi="Arial" w:cs="Arial"/>
          <w:lang w:val="es-ES_tradnl"/>
        </w:rPr>
        <w:t xml:space="preserve">, registrada con número de </w:t>
      </w:r>
      <w:r w:rsidR="00561BAD" w:rsidRPr="0088712F">
        <w:rPr>
          <w:rFonts w:ascii="Arial" w:hAnsi="Arial" w:cs="Arial"/>
          <w:lang w:val="es-ES_tradnl"/>
        </w:rPr>
        <w:t>salida</w:t>
      </w:r>
      <w:r w:rsidR="001C5BBC" w:rsidRPr="0088712F">
        <w:rPr>
          <w:rFonts w:ascii="Arial" w:hAnsi="Arial" w:cs="Arial"/>
          <w:lang w:val="es-ES_tradnl"/>
        </w:rPr>
        <w:t xml:space="preserve"> del Parlamento de Navarra </w:t>
      </w:r>
      <w:r w:rsidRPr="0088712F">
        <w:rPr>
          <w:rFonts w:ascii="Arial" w:hAnsi="Arial" w:cs="Arial"/>
          <w:lang w:val="es-ES_tradnl"/>
        </w:rPr>
        <w:t>3</w:t>
      </w:r>
      <w:r w:rsidR="00EB3E46" w:rsidRPr="0088712F">
        <w:rPr>
          <w:rFonts w:ascii="Arial" w:hAnsi="Arial" w:cs="Arial"/>
          <w:lang w:val="es-ES_tradnl"/>
        </w:rPr>
        <w:t>74</w:t>
      </w:r>
      <w:r w:rsidR="008F3BE7" w:rsidRPr="0088712F">
        <w:rPr>
          <w:rFonts w:ascii="Arial" w:hAnsi="Arial" w:cs="Arial"/>
          <w:lang w:val="es-ES_tradnl"/>
        </w:rPr>
        <w:t>3</w:t>
      </w:r>
      <w:r w:rsidR="001C5BBC" w:rsidRPr="0088712F">
        <w:rPr>
          <w:rFonts w:ascii="Arial" w:hAnsi="Arial" w:cs="Arial"/>
          <w:lang w:val="es-ES_tradnl"/>
        </w:rPr>
        <w:t xml:space="preserve">, de </w:t>
      </w:r>
      <w:r w:rsidR="00EB3E46" w:rsidRPr="0088712F">
        <w:rPr>
          <w:rFonts w:ascii="Arial" w:hAnsi="Arial" w:cs="Arial"/>
          <w:lang w:val="es-ES_tradnl"/>
        </w:rPr>
        <w:t>9</w:t>
      </w:r>
      <w:r w:rsidR="001C5BBC" w:rsidRPr="0088712F">
        <w:rPr>
          <w:rFonts w:ascii="Arial" w:hAnsi="Arial" w:cs="Arial"/>
          <w:lang w:val="es-ES_tradnl"/>
        </w:rPr>
        <w:t xml:space="preserve"> de </w:t>
      </w:r>
      <w:r w:rsidRPr="0088712F">
        <w:rPr>
          <w:rFonts w:ascii="Arial" w:hAnsi="Arial" w:cs="Arial"/>
          <w:lang w:val="es-ES_tradnl"/>
        </w:rPr>
        <w:t>octubre</w:t>
      </w:r>
      <w:r w:rsidR="001C5BBC" w:rsidRPr="0088712F">
        <w:rPr>
          <w:rFonts w:ascii="Arial" w:hAnsi="Arial" w:cs="Arial"/>
          <w:lang w:val="es-ES_tradnl"/>
        </w:rPr>
        <w:t xml:space="preserve"> de 20</w:t>
      </w:r>
      <w:r w:rsidR="00797449" w:rsidRPr="0088712F">
        <w:rPr>
          <w:rFonts w:ascii="Arial" w:hAnsi="Arial" w:cs="Arial"/>
          <w:lang w:val="es-ES_tradnl"/>
        </w:rPr>
        <w:t>2</w:t>
      </w:r>
      <w:r w:rsidRPr="0088712F">
        <w:rPr>
          <w:rFonts w:ascii="Arial" w:hAnsi="Arial" w:cs="Arial"/>
          <w:lang w:val="es-ES_tradnl"/>
        </w:rPr>
        <w:t>3</w:t>
      </w:r>
      <w:r w:rsidR="001C5BBC" w:rsidRPr="0088712F">
        <w:rPr>
          <w:rFonts w:ascii="Arial" w:hAnsi="Arial" w:cs="Arial"/>
          <w:lang w:val="es-ES_tradnl"/>
        </w:rPr>
        <w:t>, (1</w:t>
      </w:r>
      <w:r w:rsidRPr="0088712F">
        <w:rPr>
          <w:rFonts w:ascii="Arial" w:hAnsi="Arial" w:cs="Arial"/>
          <w:lang w:val="es-ES_tradnl"/>
        </w:rPr>
        <w:t>1</w:t>
      </w:r>
      <w:r w:rsidR="001C5BBC" w:rsidRPr="0088712F">
        <w:rPr>
          <w:rFonts w:ascii="Arial" w:hAnsi="Arial" w:cs="Arial"/>
          <w:lang w:val="es-ES_tradnl"/>
        </w:rPr>
        <w:t>-</w:t>
      </w:r>
      <w:r w:rsidR="00797449" w:rsidRPr="0088712F">
        <w:rPr>
          <w:rFonts w:ascii="Arial" w:hAnsi="Arial" w:cs="Arial"/>
          <w:lang w:val="es-ES_tradnl"/>
        </w:rPr>
        <w:t>2</w:t>
      </w:r>
      <w:r w:rsidRPr="0088712F">
        <w:rPr>
          <w:rFonts w:ascii="Arial" w:hAnsi="Arial" w:cs="Arial"/>
          <w:lang w:val="es-ES_tradnl"/>
        </w:rPr>
        <w:t>3</w:t>
      </w:r>
      <w:r w:rsidR="001C5BBC" w:rsidRPr="0088712F">
        <w:rPr>
          <w:rFonts w:ascii="Arial" w:hAnsi="Arial" w:cs="Arial"/>
          <w:lang w:val="es-ES_tradnl"/>
        </w:rPr>
        <w:t>/PE</w:t>
      </w:r>
      <w:r w:rsidR="00864DCD" w:rsidRPr="0088712F">
        <w:rPr>
          <w:rFonts w:ascii="Arial" w:hAnsi="Arial" w:cs="Arial"/>
          <w:lang w:val="es-ES_tradnl"/>
        </w:rPr>
        <w:t>S</w:t>
      </w:r>
      <w:r w:rsidR="001C5BBC" w:rsidRPr="0088712F">
        <w:rPr>
          <w:rFonts w:ascii="Arial" w:hAnsi="Arial" w:cs="Arial"/>
          <w:lang w:val="es-ES_tradnl"/>
        </w:rPr>
        <w:t>-</w:t>
      </w:r>
      <w:r w:rsidRPr="0088712F">
        <w:rPr>
          <w:rFonts w:ascii="Arial" w:hAnsi="Arial" w:cs="Arial"/>
          <w:lang w:val="es-ES_tradnl"/>
        </w:rPr>
        <w:t>1</w:t>
      </w:r>
      <w:r w:rsidR="00544CBD" w:rsidRPr="0088712F">
        <w:rPr>
          <w:rFonts w:ascii="Arial" w:hAnsi="Arial" w:cs="Arial"/>
          <w:lang w:val="es-ES_tradnl"/>
        </w:rPr>
        <w:t>2</w:t>
      </w:r>
      <w:r w:rsidR="008F3BE7" w:rsidRPr="0088712F">
        <w:rPr>
          <w:rFonts w:ascii="Arial" w:hAnsi="Arial" w:cs="Arial"/>
          <w:lang w:val="es-ES_tradnl"/>
        </w:rPr>
        <w:t>4</w:t>
      </w:r>
      <w:r w:rsidR="0042675C" w:rsidRPr="0088712F">
        <w:rPr>
          <w:rFonts w:ascii="Arial" w:hAnsi="Arial" w:cs="Arial"/>
          <w:lang w:val="es-ES_tradnl"/>
        </w:rPr>
        <w:t>)</w:t>
      </w:r>
      <w:r w:rsidR="0073692F" w:rsidRPr="0088712F">
        <w:rPr>
          <w:rFonts w:ascii="Arial" w:hAnsi="Arial" w:cs="Arial"/>
          <w:lang w:val="es-ES_tradnl"/>
        </w:rPr>
        <w:t>,</w:t>
      </w:r>
      <w:r w:rsidR="005F4F36" w:rsidRPr="0088712F">
        <w:rPr>
          <w:rFonts w:ascii="Arial" w:hAnsi="Arial" w:cs="Arial"/>
          <w:lang w:val="es-ES_tradnl"/>
        </w:rPr>
        <w:t xml:space="preserve"> </w:t>
      </w:r>
      <w:r w:rsidR="00304774" w:rsidRPr="0088712F">
        <w:rPr>
          <w:rFonts w:ascii="Arial" w:hAnsi="Arial" w:cs="Arial"/>
          <w:lang w:val="es-ES_tradnl"/>
        </w:rPr>
        <w:t>relativa</w:t>
      </w:r>
      <w:r w:rsidR="00DA07FB" w:rsidRPr="0088712F">
        <w:rPr>
          <w:rFonts w:ascii="Arial" w:hAnsi="Arial" w:cs="Arial"/>
          <w:lang w:val="es-ES_tradnl"/>
        </w:rPr>
        <w:t xml:space="preserve"> </w:t>
      </w:r>
      <w:r w:rsidR="008F3BE7" w:rsidRPr="0088712F">
        <w:rPr>
          <w:rFonts w:ascii="Arial" w:hAnsi="Arial" w:cs="Arial"/>
          <w:lang w:val="es-ES_tradnl"/>
        </w:rPr>
        <w:t>al impacto de la deducción extraordinaria del Impuesto sobre la Renta de las Personas Físicas en pensionistas</w:t>
      </w:r>
      <w:r w:rsidR="00864DCD" w:rsidRPr="0088712F">
        <w:rPr>
          <w:rFonts w:ascii="Arial" w:hAnsi="Arial" w:cs="Arial"/>
          <w:lang w:val="es-ES_tradnl"/>
        </w:rPr>
        <w:t>,</w:t>
      </w:r>
      <w:r w:rsidR="00E04955" w:rsidRPr="0088712F">
        <w:rPr>
          <w:rFonts w:ascii="Arial" w:hAnsi="Arial" w:cs="Arial"/>
          <w:lang w:val="es-ES_tradnl"/>
        </w:rPr>
        <w:t xml:space="preserve"> </w:t>
      </w:r>
      <w:r w:rsidR="001C5BBC" w:rsidRPr="0088712F">
        <w:rPr>
          <w:rFonts w:ascii="Arial" w:hAnsi="Arial" w:cs="Arial"/>
          <w:lang w:val="es-ES_tradnl"/>
        </w:rPr>
        <w:t xml:space="preserve">tiene el honor de </w:t>
      </w:r>
      <w:r w:rsidR="00E87145" w:rsidRPr="0088712F">
        <w:rPr>
          <w:rFonts w:ascii="Arial" w:hAnsi="Arial" w:cs="Arial"/>
          <w:lang w:val="es-ES_tradnl"/>
        </w:rPr>
        <w:t>contestarle</w:t>
      </w:r>
      <w:r w:rsidR="00251B06" w:rsidRPr="0088712F">
        <w:rPr>
          <w:rFonts w:ascii="Arial" w:hAnsi="Arial" w:cs="Arial"/>
          <w:lang w:val="es-ES_tradnl"/>
        </w:rPr>
        <w:t xml:space="preserve"> lo siguiente:</w:t>
      </w:r>
    </w:p>
    <w:p w14:paraId="66EA4ADF" w14:textId="77777777" w:rsidR="008F3BE7" w:rsidRPr="0088712F" w:rsidRDefault="008F3BE7" w:rsidP="008F3BE7">
      <w:pPr>
        <w:pStyle w:val="Prrafodelista"/>
        <w:numPr>
          <w:ilvl w:val="0"/>
          <w:numId w:val="12"/>
        </w:numPr>
        <w:spacing w:after="160" w:line="259" w:lineRule="auto"/>
        <w:ind w:left="708"/>
        <w:contextualSpacing/>
        <w:jc w:val="both"/>
        <w:rPr>
          <w:lang w:val="es-ES_tradnl"/>
        </w:rPr>
      </w:pPr>
      <w:r w:rsidRPr="0088712F">
        <w:rPr>
          <w:b/>
          <w:lang w:val="es-ES_tradnl"/>
        </w:rPr>
        <w:t>¿Qué impacto ha tenido esta deducción en el colectivo de personas pensionistas?</w:t>
      </w:r>
    </w:p>
    <w:p w14:paraId="454736E3" w14:textId="77777777" w:rsidR="008F3BE7" w:rsidRPr="0088712F" w:rsidRDefault="008F3BE7" w:rsidP="008F3BE7">
      <w:pPr>
        <w:pStyle w:val="Prrafodelista"/>
        <w:ind w:left="0"/>
        <w:jc w:val="both"/>
        <w:rPr>
          <w:lang w:val="es-ES_tradnl"/>
        </w:rPr>
      </w:pPr>
      <w:r w:rsidRPr="0088712F">
        <w:rPr>
          <w:lang w:val="es-ES_tradnl"/>
        </w:rPr>
        <w:t>Al no ser una deducción extraordinaria aplicable exclusivamente al colectivo de personas pensionistas, sino una deducción aplicable a todo el colectivo de rentas con menor poder adquisitivo, no se dispone de los datos desglosados de acuerdo con ese criterio.</w:t>
      </w:r>
    </w:p>
    <w:p w14:paraId="58116F31" w14:textId="77777777" w:rsidR="008F3BE7" w:rsidRPr="0088712F" w:rsidRDefault="008F3BE7" w:rsidP="008F3BE7">
      <w:pPr>
        <w:pStyle w:val="Prrafodelista"/>
        <w:ind w:left="0"/>
        <w:jc w:val="both"/>
        <w:rPr>
          <w:lang w:val="es-ES_tradnl"/>
        </w:rPr>
      </w:pPr>
      <w:r w:rsidRPr="0088712F">
        <w:rPr>
          <w:lang w:val="es-ES_tradnl"/>
        </w:rPr>
        <w:t>Se proporciona, no obstante, el impacto total que ha tenido esta deducción por tramos de base liquidable.</w:t>
      </w:r>
    </w:p>
    <w:p w14:paraId="2FE384A4" w14:textId="77777777" w:rsidR="008F3BE7" w:rsidRPr="0088712F" w:rsidRDefault="008F3BE7" w:rsidP="008F3BE7">
      <w:pPr>
        <w:pStyle w:val="Prrafodelista"/>
        <w:jc w:val="both"/>
        <w:rPr>
          <w:lang w:val="es-ES_tradnl"/>
        </w:rPr>
      </w:pPr>
    </w:p>
    <w:tbl>
      <w:tblPr>
        <w:tblW w:w="8366" w:type="dxa"/>
        <w:tblInd w:w="354" w:type="dxa"/>
        <w:tblCellMar>
          <w:left w:w="70" w:type="dxa"/>
          <w:right w:w="70" w:type="dxa"/>
        </w:tblCellMar>
        <w:tblLook w:val="04A0" w:firstRow="1" w:lastRow="0" w:firstColumn="1" w:lastColumn="0" w:noHBand="0" w:noVBand="1"/>
      </w:tblPr>
      <w:tblGrid>
        <w:gridCol w:w="3261"/>
        <w:gridCol w:w="2125"/>
        <w:gridCol w:w="2980"/>
      </w:tblGrid>
      <w:tr w:rsidR="008F3BE7" w:rsidRPr="0088712F" w14:paraId="12C0C5A4" w14:textId="77777777" w:rsidTr="0088712F">
        <w:trPr>
          <w:trHeight w:val="694"/>
        </w:trPr>
        <w:tc>
          <w:tcPr>
            <w:tcW w:w="836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645940" w14:textId="4BE1D6F3" w:rsidR="008F3BE7" w:rsidRPr="0088712F" w:rsidRDefault="008F3BE7" w:rsidP="0088712F">
            <w:pPr>
              <w:jc w:val="center"/>
              <w:rPr>
                <w:rFonts w:ascii="Arial" w:hAnsi="Arial" w:cs="Arial"/>
                <w:b/>
                <w:bCs/>
                <w:sz w:val="18"/>
                <w:szCs w:val="18"/>
                <w:lang w:val="es-ES_tradnl"/>
              </w:rPr>
            </w:pPr>
            <w:bookmarkStart w:id="0" w:name="_Hlk155686936"/>
            <w:r w:rsidRPr="0088712F">
              <w:rPr>
                <w:rFonts w:ascii="Arial" w:hAnsi="Arial" w:cs="Arial"/>
                <w:b/>
                <w:bCs/>
                <w:sz w:val="18"/>
                <w:szCs w:val="18"/>
                <w:lang w:val="es-ES_tradnl"/>
              </w:rPr>
              <w:t>EFECTO DEDUCCIÓN EXTRAORDINARIA RTOS. DEL TRABAJO Y/O PROFESIONAL</w:t>
            </w:r>
            <w:r w:rsidR="0088712F">
              <w:rPr>
                <w:rFonts w:ascii="Arial" w:hAnsi="Arial" w:cs="Arial"/>
                <w:b/>
                <w:bCs/>
                <w:sz w:val="18"/>
                <w:szCs w:val="18"/>
                <w:lang w:val="es-ES_tradnl"/>
              </w:rPr>
              <w:br/>
            </w:r>
            <w:r w:rsidRPr="0088712F">
              <w:rPr>
                <w:rFonts w:ascii="Arial" w:hAnsi="Arial" w:cs="Arial"/>
                <w:b/>
                <w:bCs/>
                <w:sz w:val="18"/>
                <w:szCs w:val="18"/>
                <w:lang w:val="es-ES_tradnl"/>
              </w:rPr>
              <w:t>(DA sexagésima sexta del TRIRPF)</w:t>
            </w:r>
          </w:p>
        </w:tc>
      </w:tr>
      <w:tr w:rsidR="008F3BE7" w:rsidRPr="0088712F" w14:paraId="4E043C43" w14:textId="77777777" w:rsidTr="0088712F">
        <w:trPr>
          <w:trHeight w:val="300"/>
        </w:trPr>
        <w:tc>
          <w:tcPr>
            <w:tcW w:w="3261" w:type="dxa"/>
            <w:tcBorders>
              <w:top w:val="nil"/>
              <w:left w:val="nil"/>
              <w:bottom w:val="nil"/>
              <w:right w:val="nil"/>
            </w:tcBorders>
            <w:shd w:val="clear" w:color="auto" w:fill="auto"/>
            <w:noWrap/>
            <w:vAlign w:val="bottom"/>
            <w:hideMark/>
          </w:tcPr>
          <w:p w14:paraId="086AF2CF" w14:textId="77777777" w:rsidR="008F3BE7" w:rsidRPr="0088712F" w:rsidRDefault="008F3BE7" w:rsidP="00C268BC">
            <w:pPr>
              <w:jc w:val="both"/>
              <w:rPr>
                <w:rFonts w:ascii="Arial" w:hAnsi="Arial" w:cs="Arial"/>
                <w:b/>
                <w:bCs/>
                <w:sz w:val="18"/>
                <w:szCs w:val="18"/>
                <w:lang w:val="es-ES_tradnl"/>
              </w:rPr>
            </w:pPr>
          </w:p>
        </w:tc>
        <w:tc>
          <w:tcPr>
            <w:tcW w:w="2125" w:type="dxa"/>
            <w:tcBorders>
              <w:top w:val="nil"/>
              <w:left w:val="nil"/>
              <w:bottom w:val="nil"/>
              <w:right w:val="nil"/>
            </w:tcBorders>
            <w:shd w:val="clear" w:color="auto" w:fill="auto"/>
            <w:noWrap/>
            <w:vAlign w:val="bottom"/>
            <w:hideMark/>
          </w:tcPr>
          <w:p w14:paraId="09F19498" w14:textId="77777777" w:rsidR="008F3BE7" w:rsidRPr="0088712F" w:rsidRDefault="008F3BE7" w:rsidP="00C268BC">
            <w:pPr>
              <w:jc w:val="both"/>
              <w:rPr>
                <w:sz w:val="20"/>
                <w:szCs w:val="20"/>
                <w:lang w:val="es-ES_tradnl"/>
              </w:rPr>
            </w:pPr>
          </w:p>
        </w:tc>
        <w:tc>
          <w:tcPr>
            <w:tcW w:w="2977" w:type="dxa"/>
            <w:tcBorders>
              <w:top w:val="nil"/>
              <w:left w:val="nil"/>
              <w:bottom w:val="nil"/>
              <w:right w:val="nil"/>
            </w:tcBorders>
            <w:shd w:val="clear" w:color="auto" w:fill="auto"/>
            <w:noWrap/>
            <w:vAlign w:val="bottom"/>
            <w:hideMark/>
          </w:tcPr>
          <w:p w14:paraId="13DE30D6" w14:textId="77777777" w:rsidR="008F3BE7" w:rsidRPr="0088712F" w:rsidRDefault="008F3BE7" w:rsidP="00C268BC">
            <w:pPr>
              <w:jc w:val="both"/>
              <w:rPr>
                <w:sz w:val="20"/>
                <w:szCs w:val="20"/>
                <w:lang w:val="es-ES_tradnl"/>
              </w:rPr>
            </w:pPr>
          </w:p>
        </w:tc>
      </w:tr>
      <w:tr w:rsidR="008F3BE7" w:rsidRPr="0088712F" w14:paraId="590378C1" w14:textId="77777777" w:rsidTr="0088712F">
        <w:trPr>
          <w:trHeight w:val="398"/>
        </w:trPr>
        <w:tc>
          <w:tcPr>
            <w:tcW w:w="3261" w:type="dxa"/>
            <w:tcBorders>
              <w:top w:val="nil"/>
              <w:left w:val="nil"/>
              <w:bottom w:val="nil"/>
              <w:right w:val="nil"/>
            </w:tcBorders>
            <w:shd w:val="clear" w:color="auto" w:fill="auto"/>
            <w:vAlign w:val="center"/>
            <w:hideMark/>
          </w:tcPr>
          <w:p w14:paraId="1388AADD" w14:textId="77777777" w:rsidR="008F3BE7" w:rsidRPr="0088712F" w:rsidRDefault="008F3BE7" w:rsidP="00C268BC">
            <w:pPr>
              <w:jc w:val="both"/>
              <w:rPr>
                <w:sz w:val="20"/>
                <w:szCs w:val="20"/>
                <w:lang w:val="es-ES_tradnl"/>
              </w:rPr>
            </w:pPr>
          </w:p>
        </w:tc>
        <w:tc>
          <w:tcPr>
            <w:tcW w:w="5105"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D0F8F90" w14:textId="77777777" w:rsidR="008F3BE7" w:rsidRPr="0088712F" w:rsidRDefault="008F3BE7" w:rsidP="00C268BC">
            <w:pPr>
              <w:jc w:val="both"/>
              <w:rPr>
                <w:rFonts w:ascii="Arial" w:hAnsi="Arial" w:cs="Arial"/>
                <w:b/>
                <w:bCs/>
                <w:sz w:val="18"/>
                <w:szCs w:val="18"/>
                <w:lang w:val="es-ES_tradnl"/>
              </w:rPr>
            </w:pPr>
            <w:r w:rsidRPr="0088712F">
              <w:rPr>
                <w:rFonts w:ascii="Arial" w:hAnsi="Arial" w:cs="Arial"/>
                <w:b/>
                <w:bCs/>
                <w:sz w:val="18"/>
                <w:szCs w:val="18"/>
                <w:lang w:val="es-ES_tradnl"/>
              </w:rPr>
              <w:t xml:space="preserve">EFECTO </w:t>
            </w:r>
          </w:p>
        </w:tc>
      </w:tr>
      <w:tr w:rsidR="008F3BE7" w:rsidRPr="0088712F" w14:paraId="3714B1EB" w14:textId="77777777" w:rsidTr="0088712F">
        <w:trPr>
          <w:trHeight w:val="960"/>
        </w:trPr>
        <w:tc>
          <w:tcPr>
            <w:tcW w:w="3261" w:type="dxa"/>
            <w:tcBorders>
              <w:top w:val="nil"/>
              <w:left w:val="nil"/>
              <w:bottom w:val="nil"/>
              <w:right w:val="nil"/>
            </w:tcBorders>
            <w:shd w:val="clear" w:color="auto" w:fill="auto"/>
            <w:noWrap/>
            <w:vAlign w:val="bottom"/>
            <w:hideMark/>
          </w:tcPr>
          <w:p w14:paraId="753C5E40" w14:textId="77777777" w:rsidR="008F3BE7" w:rsidRPr="0088712F" w:rsidRDefault="008F3BE7" w:rsidP="00C268BC">
            <w:pPr>
              <w:jc w:val="both"/>
              <w:rPr>
                <w:rFonts w:ascii="Arial" w:hAnsi="Arial" w:cs="Arial"/>
                <w:b/>
                <w:bCs/>
                <w:sz w:val="18"/>
                <w:szCs w:val="18"/>
                <w:lang w:val="es-ES_tradnl"/>
              </w:rPr>
            </w:pP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7F8AACC" w14:textId="77777777" w:rsidR="008F3BE7" w:rsidRPr="0088712F" w:rsidRDefault="008F3BE7" w:rsidP="0088712F">
            <w:pPr>
              <w:jc w:val="center"/>
              <w:rPr>
                <w:rFonts w:ascii="Calibri" w:hAnsi="Calibri" w:cs="Calibri"/>
                <w:sz w:val="18"/>
                <w:szCs w:val="18"/>
                <w:lang w:val="es-ES_tradnl"/>
              </w:rPr>
            </w:pPr>
            <w:proofErr w:type="spellStart"/>
            <w:r w:rsidRPr="0088712F">
              <w:rPr>
                <w:rFonts w:ascii="Calibri" w:hAnsi="Calibri" w:cs="Calibri"/>
                <w:sz w:val="18"/>
                <w:szCs w:val="18"/>
                <w:lang w:val="es-ES_tradnl"/>
              </w:rPr>
              <w:t>Nº</w:t>
            </w:r>
            <w:proofErr w:type="spellEnd"/>
            <w:r w:rsidRPr="0088712F">
              <w:rPr>
                <w:rFonts w:ascii="Calibri" w:hAnsi="Calibri" w:cs="Calibri"/>
                <w:sz w:val="18"/>
                <w:szCs w:val="18"/>
                <w:lang w:val="es-ES_tradnl"/>
              </w:rPr>
              <w:t xml:space="preserve"> declaraciones</w:t>
            </w:r>
            <w:r w:rsidRPr="0088712F">
              <w:rPr>
                <w:rFonts w:ascii="Calibri" w:hAnsi="Calibri" w:cs="Calibri"/>
                <w:sz w:val="18"/>
                <w:szCs w:val="18"/>
                <w:lang w:val="es-ES_tradnl"/>
              </w:rPr>
              <w:br/>
              <w:t xml:space="preserve"> Afectadas</w:t>
            </w:r>
          </w:p>
        </w:tc>
        <w:tc>
          <w:tcPr>
            <w:tcW w:w="2977" w:type="dxa"/>
            <w:tcBorders>
              <w:top w:val="nil"/>
              <w:left w:val="nil"/>
              <w:bottom w:val="single" w:sz="4" w:space="0" w:color="auto"/>
              <w:right w:val="single" w:sz="4" w:space="0" w:color="auto"/>
            </w:tcBorders>
            <w:shd w:val="clear" w:color="000000" w:fill="FFFFFF"/>
            <w:vAlign w:val="center"/>
            <w:hideMark/>
          </w:tcPr>
          <w:p w14:paraId="09BD1D2B" w14:textId="77777777" w:rsidR="008F3BE7" w:rsidRPr="0088712F" w:rsidRDefault="008F3BE7" w:rsidP="0088712F">
            <w:pPr>
              <w:jc w:val="center"/>
              <w:rPr>
                <w:rFonts w:ascii="Calibri" w:hAnsi="Calibri" w:cs="Calibri"/>
                <w:sz w:val="18"/>
                <w:szCs w:val="18"/>
                <w:lang w:val="es-ES_tradnl"/>
              </w:rPr>
            </w:pPr>
            <w:r w:rsidRPr="0088712F">
              <w:rPr>
                <w:rFonts w:ascii="Calibri" w:hAnsi="Calibri" w:cs="Calibri"/>
                <w:sz w:val="18"/>
                <w:szCs w:val="18"/>
                <w:lang w:val="es-ES_tradnl"/>
              </w:rPr>
              <w:t>Valor Resultado en</w:t>
            </w:r>
            <w:r w:rsidRPr="0088712F">
              <w:rPr>
                <w:rFonts w:ascii="Calibri" w:hAnsi="Calibri" w:cs="Calibri"/>
                <w:sz w:val="18"/>
                <w:szCs w:val="18"/>
                <w:lang w:val="es-ES_tradnl"/>
              </w:rPr>
              <w:br/>
              <w:t>Cuota Diferencial Previa</w:t>
            </w:r>
          </w:p>
        </w:tc>
      </w:tr>
      <w:tr w:rsidR="008F3BE7" w:rsidRPr="0088712F" w14:paraId="63ED67ED" w14:textId="77777777" w:rsidTr="0088712F">
        <w:trPr>
          <w:trHeight w:val="300"/>
        </w:trPr>
        <w:tc>
          <w:tcPr>
            <w:tcW w:w="3261" w:type="dxa"/>
            <w:tcBorders>
              <w:top w:val="single" w:sz="4" w:space="0" w:color="auto"/>
              <w:left w:val="single" w:sz="4" w:space="0" w:color="auto"/>
              <w:bottom w:val="single" w:sz="4" w:space="0" w:color="auto"/>
              <w:right w:val="nil"/>
            </w:tcBorders>
            <w:shd w:val="clear" w:color="auto" w:fill="auto"/>
            <w:vAlign w:val="center"/>
            <w:hideMark/>
          </w:tcPr>
          <w:p w14:paraId="2FFA6029"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menor de 6.000 €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3347CBED"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0</w:t>
            </w:r>
          </w:p>
        </w:tc>
        <w:tc>
          <w:tcPr>
            <w:tcW w:w="2977" w:type="dxa"/>
            <w:tcBorders>
              <w:top w:val="nil"/>
              <w:left w:val="nil"/>
              <w:bottom w:val="single" w:sz="4" w:space="0" w:color="auto"/>
              <w:right w:val="single" w:sz="4" w:space="0" w:color="auto"/>
            </w:tcBorders>
            <w:shd w:val="clear" w:color="000000" w:fill="FFFFFF"/>
            <w:vAlign w:val="center"/>
            <w:hideMark/>
          </w:tcPr>
          <w:p w14:paraId="6467246D"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   </w:t>
            </w:r>
          </w:p>
        </w:tc>
      </w:tr>
      <w:tr w:rsidR="008F3BE7" w:rsidRPr="0088712F" w14:paraId="6D2421D5"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25B8D261"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6.000,01 y 12.000 €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3E6BA091"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438</w:t>
            </w:r>
          </w:p>
        </w:tc>
        <w:tc>
          <w:tcPr>
            <w:tcW w:w="2977" w:type="dxa"/>
            <w:tcBorders>
              <w:top w:val="nil"/>
              <w:left w:val="nil"/>
              <w:bottom w:val="single" w:sz="4" w:space="0" w:color="auto"/>
              <w:right w:val="single" w:sz="4" w:space="0" w:color="auto"/>
            </w:tcBorders>
            <w:shd w:val="clear" w:color="000000" w:fill="FFFFFF"/>
            <w:vAlign w:val="center"/>
            <w:hideMark/>
          </w:tcPr>
          <w:p w14:paraId="41FB9F89"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141.964,82 </w:t>
            </w:r>
          </w:p>
        </w:tc>
      </w:tr>
      <w:tr w:rsidR="008F3BE7" w:rsidRPr="0088712F" w14:paraId="40183F4C"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1E32EB22"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12.000,01 y 18.000 €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273297B"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25.071</w:t>
            </w:r>
          </w:p>
        </w:tc>
        <w:tc>
          <w:tcPr>
            <w:tcW w:w="2977" w:type="dxa"/>
            <w:tcBorders>
              <w:top w:val="nil"/>
              <w:left w:val="nil"/>
              <w:bottom w:val="single" w:sz="4" w:space="0" w:color="auto"/>
              <w:right w:val="single" w:sz="4" w:space="0" w:color="auto"/>
            </w:tcBorders>
            <w:shd w:val="clear" w:color="000000" w:fill="FFFFFF"/>
            <w:vAlign w:val="center"/>
            <w:hideMark/>
          </w:tcPr>
          <w:p w14:paraId="370B1B04"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11.516.194,50 </w:t>
            </w:r>
          </w:p>
        </w:tc>
      </w:tr>
      <w:tr w:rsidR="008F3BE7" w:rsidRPr="0088712F" w14:paraId="248FD40B"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7D410E16"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18.000,01 y 24.000 €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43C66D22"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35.565</w:t>
            </w:r>
          </w:p>
        </w:tc>
        <w:tc>
          <w:tcPr>
            <w:tcW w:w="2977" w:type="dxa"/>
            <w:tcBorders>
              <w:top w:val="nil"/>
              <w:left w:val="nil"/>
              <w:bottom w:val="single" w:sz="4" w:space="0" w:color="auto"/>
              <w:right w:val="single" w:sz="4" w:space="0" w:color="auto"/>
            </w:tcBorders>
            <w:shd w:val="clear" w:color="000000" w:fill="FFFFFF"/>
            <w:vAlign w:val="center"/>
            <w:hideMark/>
          </w:tcPr>
          <w:p w14:paraId="2E559708"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16.935.692,63 </w:t>
            </w:r>
          </w:p>
        </w:tc>
      </w:tr>
      <w:tr w:rsidR="008F3BE7" w:rsidRPr="0088712F" w14:paraId="50311896"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3CC65E12"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24.000,01 y 30.000 €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2113BB99"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28.901</w:t>
            </w:r>
          </w:p>
        </w:tc>
        <w:tc>
          <w:tcPr>
            <w:tcW w:w="2977" w:type="dxa"/>
            <w:tcBorders>
              <w:top w:val="nil"/>
              <w:left w:val="nil"/>
              <w:bottom w:val="single" w:sz="4" w:space="0" w:color="auto"/>
              <w:right w:val="single" w:sz="4" w:space="0" w:color="auto"/>
            </w:tcBorders>
            <w:shd w:val="clear" w:color="000000" w:fill="FFFFFF"/>
            <w:vAlign w:val="center"/>
            <w:hideMark/>
          </w:tcPr>
          <w:p w14:paraId="0D109502"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11.607.287,38 </w:t>
            </w:r>
          </w:p>
        </w:tc>
      </w:tr>
      <w:tr w:rsidR="008F3BE7" w:rsidRPr="0088712F" w14:paraId="030B96B8"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06890870"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30.000,01 y 45.000 €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2157146"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37.768</w:t>
            </w:r>
          </w:p>
        </w:tc>
        <w:tc>
          <w:tcPr>
            <w:tcW w:w="2977" w:type="dxa"/>
            <w:tcBorders>
              <w:top w:val="nil"/>
              <w:left w:val="nil"/>
              <w:bottom w:val="single" w:sz="4" w:space="0" w:color="auto"/>
              <w:right w:val="single" w:sz="4" w:space="0" w:color="auto"/>
            </w:tcBorders>
            <w:shd w:val="clear" w:color="000000" w:fill="FFFFFF"/>
            <w:vAlign w:val="center"/>
            <w:hideMark/>
          </w:tcPr>
          <w:p w14:paraId="1BA77A4D"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16.799.569,02 </w:t>
            </w:r>
          </w:p>
        </w:tc>
      </w:tr>
      <w:tr w:rsidR="008F3BE7" w:rsidRPr="0088712F" w14:paraId="39C2A38C" w14:textId="77777777" w:rsidTr="0088712F">
        <w:trPr>
          <w:trHeight w:val="300"/>
        </w:trPr>
        <w:tc>
          <w:tcPr>
            <w:tcW w:w="3261" w:type="dxa"/>
            <w:tcBorders>
              <w:top w:val="nil"/>
              <w:left w:val="single" w:sz="4" w:space="0" w:color="auto"/>
              <w:bottom w:val="single" w:sz="4" w:space="0" w:color="auto"/>
              <w:right w:val="nil"/>
            </w:tcBorders>
            <w:shd w:val="clear" w:color="auto" w:fill="auto"/>
            <w:vAlign w:val="center"/>
            <w:hideMark/>
          </w:tcPr>
          <w:p w14:paraId="6EA1D3E7" w14:textId="77777777" w:rsidR="008F3BE7" w:rsidRPr="0088712F" w:rsidRDefault="008F3BE7" w:rsidP="00C268BC">
            <w:pPr>
              <w:jc w:val="both"/>
              <w:rPr>
                <w:rFonts w:ascii="Arial" w:hAnsi="Arial" w:cs="Arial"/>
                <w:sz w:val="16"/>
                <w:szCs w:val="16"/>
                <w:lang w:val="es-ES_tradnl"/>
              </w:rPr>
            </w:pPr>
            <w:r w:rsidRPr="0088712F">
              <w:rPr>
                <w:rFonts w:ascii="Arial" w:hAnsi="Arial" w:cs="Arial"/>
                <w:sz w:val="16"/>
                <w:szCs w:val="16"/>
                <w:lang w:val="es-ES_tradnl"/>
              </w:rPr>
              <w:t>Base Liquidable entre 45.000,01 y 60.000 €</w:t>
            </w:r>
          </w:p>
        </w:tc>
        <w:tc>
          <w:tcPr>
            <w:tcW w:w="2125" w:type="dxa"/>
            <w:tcBorders>
              <w:top w:val="nil"/>
              <w:left w:val="single" w:sz="4" w:space="0" w:color="auto"/>
              <w:bottom w:val="single" w:sz="4" w:space="0" w:color="auto"/>
              <w:right w:val="single" w:sz="4" w:space="0" w:color="auto"/>
            </w:tcBorders>
            <w:shd w:val="clear" w:color="000000" w:fill="FFFFFF"/>
            <w:vAlign w:val="center"/>
            <w:hideMark/>
          </w:tcPr>
          <w:p w14:paraId="514B3490"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11.643</w:t>
            </w:r>
          </w:p>
        </w:tc>
        <w:tc>
          <w:tcPr>
            <w:tcW w:w="2977" w:type="dxa"/>
            <w:tcBorders>
              <w:top w:val="nil"/>
              <w:left w:val="nil"/>
              <w:bottom w:val="single" w:sz="4" w:space="0" w:color="auto"/>
              <w:right w:val="single" w:sz="4" w:space="0" w:color="auto"/>
            </w:tcBorders>
            <w:shd w:val="clear" w:color="000000" w:fill="FFFFFF"/>
            <w:vAlign w:val="center"/>
            <w:hideMark/>
          </w:tcPr>
          <w:p w14:paraId="4D2C5B98" w14:textId="77777777" w:rsidR="008F3BE7" w:rsidRPr="0088712F" w:rsidRDefault="008F3BE7" w:rsidP="0088712F">
            <w:pPr>
              <w:jc w:val="right"/>
              <w:rPr>
                <w:rFonts w:ascii="Arial" w:hAnsi="Arial" w:cs="Arial"/>
                <w:color w:val="000000"/>
                <w:sz w:val="16"/>
                <w:szCs w:val="16"/>
                <w:lang w:val="es-ES_tradnl"/>
              </w:rPr>
            </w:pPr>
            <w:r w:rsidRPr="0088712F">
              <w:rPr>
                <w:rFonts w:ascii="Arial" w:hAnsi="Arial" w:cs="Arial"/>
                <w:color w:val="000000"/>
                <w:sz w:val="16"/>
                <w:szCs w:val="16"/>
                <w:lang w:val="es-ES_tradnl"/>
              </w:rPr>
              <w:t xml:space="preserve">        1.991.809,05 </w:t>
            </w:r>
          </w:p>
        </w:tc>
      </w:tr>
      <w:tr w:rsidR="008F3BE7" w:rsidRPr="0088712F" w14:paraId="3B955510" w14:textId="77777777" w:rsidTr="0088712F">
        <w:trPr>
          <w:trHeight w:val="300"/>
        </w:trPr>
        <w:tc>
          <w:tcPr>
            <w:tcW w:w="3261" w:type="dxa"/>
            <w:tcBorders>
              <w:top w:val="nil"/>
              <w:left w:val="single" w:sz="4" w:space="0" w:color="auto"/>
              <w:bottom w:val="single" w:sz="4" w:space="0" w:color="auto"/>
              <w:right w:val="single" w:sz="4" w:space="0" w:color="auto"/>
            </w:tcBorders>
            <w:shd w:val="clear" w:color="000000" w:fill="F2F2F2"/>
            <w:vAlign w:val="center"/>
            <w:hideMark/>
          </w:tcPr>
          <w:p w14:paraId="7B08F6B7" w14:textId="77777777" w:rsidR="008F3BE7" w:rsidRPr="0088712F" w:rsidRDefault="008F3BE7" w:rsidP="00C268BC">
            <w:pPr>
              <w:jc w:val="both"/>
              <w:rPr>
                <w:rFonts w:ascii="Arial" w:hAnsi="Arial" w:cs="Arial"/>
                <w:b/>
                <w:bCs/>
                <w:sz w:val="16"/>
                <w:szCs w:val="16"/>
                <w:lang w:val="es-ES_tradnl"/>
              </w:rPr>
            </w:pPr>
            <w:r w:rsidRPr="0088712F">
              <w:rPr>
                <w:rFonts w:ascii="Arial" w:hAnsi="Arial" w:cs="Arial"/>
                <w:b/>
                <w:bCs/>
                <w:sz w:val="16"/>
                <w:szCs w:val="16"/>
                <w:lang w:val="es-ES_tradnl"/>
              </w:rPr>
              <w:t xml:space="preserve">TRAMOS BASE LIQUIDABLE </w:t>
            </w:r>
          </w:p>
        </w:tc>
        <w:tc>
          <w:tcPr>
            <w:tcW w:w="2125" w:type="dxa"/>
            <w:tcBorders>
              <w:top w:val="nil"/>
              <w:left w:val="nil"/>
              <w:bottom w:val="single" w:sz="4" w:space="0" w:color="auto"/>
              <w:right w:val="single" w:sz="4" w:space="0" w:color="auto"/>
            </w:tcBorders>
            <w:shd w:val="clear" w:color="000000" w:fill="F2F2F2"/>
            <w:vAlign w:val="center"/>
            <w:hideMark/>
          </w:tcPr>
          <w:p w14:paraId="21EDC7EA" w14:textId="77777777" w:rsidR="008F3BE7" w:rsidRPr="0088712F" w:rsidRDefault="008F3BE7" w:rsidP="0088712F">
            <w:pPr>
              <w:jc w:val="right"/>
              <w:rPr>
                <w:rFonts w:ascii="Arial" w:hAnsi="Arial" w:cs="Arial"/>
                <w:b/>
                <w:bCs/>
                <w:sz w:val="16"/>
                <w:szCs w:val="16"/>
                <w:lang w:val="es-ES_tradnl"/>
              </w:rPr>
            </w:pPr>
            <w:r w:rsidRPr="0088712F">
              <w:rPr>
                <w:rFonts w:ascii="Arial" w:hAnsi="Arial" w:cs="Arial"/>
                <w:b/>
                <w:bCs/>
                <w:sz w:val="16"/>
                <w:szCs w:val="16"/>
                <w:lang w:val="es-ES_tradnl"/>
              </w:rPr>
              <w:t>139.386</w:t>
            </w:r>
          </w:p>
        </w:tc>
        <w:tc>
          <w:tcPr>
            <w:tcW w:w="2977" w:type="dxa"/>
            <w:tcBorders>
              <w:top w:val="nil"/>
              <w:left w:val="nil"/>
              <w:bottom w:val="single" w:sz="4" w:space="0" w:color="auto"/>
              <w:right w:val="single" w:sz="4" w:space="0" w:color="auto"/>
            </w:tcBorders>
            <w:shd w:val="clear" w:color="000000" w:fill="F2F2F2"/>
            <w:vAlign w:val="center"/>
            <w:hideMark/>
          </w:tcPr>
          <w:p w14:paraId="3A1B122F" w14:textId="77777777" w:rsidR="008F3BE7" w:rsidRPr="0088712F" w:rsidRDefault="008F3BE7" w:rsidP="0088712F">
            <w:pPr>
              <w:jc w:val="right"/>
              <w:rPr>
                <w:rFonts w:ascii="Arial" w:hAnsi="Arial" w:cs="Arial"/>
                <w:b/>
                <w:bCs/>
                <w:sz w:val="16"/>
                <w:szCs w:val="16"/>
                <w:lang w:val="es-ES_tradnl"/>
              </w:rPr>
            </w:pPr>
            <w:r w:rsidRPr="0088712F">
              <w:rPr>
                <w:rFonts w:ascii="Arial" w:hAnsi="Arial" w:cs="Arial"/>
                <w:b/>
                <w:bCs/>
                <w:sz w:val="16"/>
                <w:szCs w:val="16"/>
                <w:lang w:val="es-ES_tradnl"/>
              </w:rPr>
              <w:t xml:space="preserve">      58.992.517,40 </w:t>
            </w:r>
          </w:p>
        </w:tc>
      </w:tr>
      <w:tr w:rsidR="008F3BE7" w:rsidRPr="0088712F" w14:paraId="3871C36F" w14:textId="77777777" w:rsidTr="0088712F">
        <w:trPr>
          <w:trHeight w:val="255"/>
        </w:trPr>
        <w:tc>
          <w:tcPr>
            <w:tcW w:w="3261" w:type="dxa"/>
            <w:tcBorders>
              <w:top w:val="nil"/>
              <w:left w:val="nil"/>
              <w:bottom w:val="nil"/>
              <w:right w:val="nil"/>
            </w:tcBorders>
            <w:shd w:val="clear" w:color="auto" w:fill="auto"/>
            <w:noWrap/>
            <w:vAlign w:val="bottom"/>
            <w:hideMark/>
          </w:tcPr>
          <w:p w14:paraId="6AED254B" w14:textId="77777777" w:rsidR="008F3BE7" w:rsidRPr="0088712F" w:rsidRDefault="008F3BE7" w:rsidP="00C268BC">
            <w:pPr>
              <w:jc w:val="both"/>
              <w:rPr>
                <w:rFonts w:ascii="Arial" w:hAnsi="Arial" w:cs="Arial"/>
                <w:b/>
                <w:bCs/>
                <w:sz w:val="16"/>
                <w:szCs w:val="16"/>
                <w:lang w:val="es-ES_tradnl"/>
              </w:rPr>
            </w:pPr>
          </w:p>
        </w:tc>
        <w:tc>
          <w:tcPr>
            <w:tcW w:w="2125" w:type="dxa"/>
            <w:tcBorders>
              <w:top w:val="nil"/>
              <w:left w:val="nil"/>
              <w:bottom w:val="nil"/>
              <w:right w:val="nil"/>
            </w:tcBorders>
            <w:shd w:val="clear" w:color="auto" w:fill="auto"/>
            <w:noWrap/>
            <w:vAlign w:val="bottom"/>
            <w:hideMark/>
          </w:tcPr>
          <w:p w14:paraId="26BCB053" w14:textId="77777777" w:rsidR="008F3BE7" w:rsidRPr="0088712F" w:rsidRDefault="008F3BE7" w:rsidP="00C268BC">
            <w:pPr>
              <w:jc w:val="both"/>
              <w:rPr>
                <w:sz w:val="20"/>
                <w:szCs w:val="20"/>
                <w:lang w:val="es-ES_tradnl"/>
              </w:rPr>
            </w:pPr>
          </w:p>
        </w:tc>
        <w:tc>
          <w:tcPr>
            <w:tcW w:w="2977" w:type="dxa"/>
            <w:tcBorders>
              <w:top w:val="nil"/>
              <w:left w:val="nil"/>
              <w:bottom w:val="nil"/>
              <w:right w:val="nil"/>
            </w:tcBorders>
            <w:shd w:val="clear" w:color="auto" w:fill="auto"/>
            <w:noWrap/>
            <w:vAlign w:val="bottom"/>
            <w:hideMark/>
          </w:tcPr>
          <w:p w14:paraId="2FC52038" w14:textId="77777777" w:rsidR="008F3BE7" w:rsidRPr="0088712F" w:rsidRDefault="008F3BE7" w:rsidP="00C268BC">
            <w:pPr>
              <w:jc w:val="both"/>
              <w:rPr>
                <w:sz w:val="20"/>
                <w:szCs w:val="20"/>
                <w:lang w:val="es-ES_tradnl"/>
              </w:rPr>
            </w:pPr>
          </w:p>
        </w:tc>
      </w:tr>
    </w:tbl>
    <w:bookmarkEnd w:id="0"/>
    <w:p w14:paraId="57CE1A9D" w14:textId="77777777" w:rsidR="0088712F" w:rsidRDefault="008F3BE7" w:rsidP="008F3BE7">
      <w:pPr>
        <w:pStyle w:val="Prrafodelista"/>
        <w:jc w:val="both"/>
        <w:rPr>
          <w:lang w:val="es-ES_tradnl"/>
        </w:rPr>
      </w:pPr>
      <w:r w:rsidRPr="0088712F">
        <w:rPr>
          <w:lang w:val="es-ES_tradnl"/>
        </w:rPr>
        <w:t>Hay que tener en cuenta:</w:t>
      </w:r>
    </w:p>
    <w:p w14:paraId="214C7222" w14:textId="0C2D5EBE" w:rsidR="008F3BE7" w:rsidRPr="0088712F" w:rsidRDefault="0088712F" w:rsidP="008F3BE7">
      <w:pPr>
        <w:pStyle w:val="Prrafodelista"/>
        <w:numPr>
          <w:ilvl w:val="0"/>
          <w:numId w:val="14"/>
        </w:numPr>
        <w:spacing w:after="160" w:line="259" w:lineRule="auto"/>
        <w:contextualSpacing/>
        <w:jc w:val="both"/>
        <w:rPr>
          <w:lang w:val="es-ES_tradnl"/>
        </w:rPr>
      </w:pPr>
      <w:r w:rsidRPr="0088712F">
        <w:rPr>
          <w:lang w:val="es-ES_tradnl"/>
        </w:rPr>
        <w:t>Base liquidable</w:t>
      </w:r>
      <w:r w:rsidR="008F3BE7" w:rsidRPr="0088712F">
        <w:rPr>
          <w:lang w:val="es-ES_tradnl"/>
        </w:rPr>
        <w:t>. (Casilla 550) Incluye la Base Liquidable General y la Base Liquidable Especial del Ahorro.</w:t>
      </w:r>
    </w:p>
    <w:p w14:paraId="0CC34557" w14:textId="77777777" w:rsidR="008F3BE7" w:rsidRPr="0088712F" w:rsidRDefault="008F3BE7" w:rsidP="008F3BE7">
      <w:pPr>
        <w:pStyle w:val="Prrafodelista"/>
        <w:ind w:left="1776"/>
        <w:jc w:val="both"/>
        <w:rPr>
          <w:lang w:val="es-ES_tradnl"/>
        </w:rPr>
      </w:pPr>
      <w:r w:rsidRPr="0088712F">
        <w:rPr>
          <w:lang w:val="es-ES_tradnl"/>
        </w:rPr>
        <w:t xml:space="preserve">En Tributación Conjunta se consigna la suma de las Bases Liquidables Generales y Especiales de todos los miembros de la unidad familiar. </w:t>
      </w:r>
    </w:p>
    <w:p w14:paraId="5E4AA5CE" w14:textId="78E2EC7A" w:rsidR="0088712F" w:rsidRDefault="0088712F" w:rsidP="008F3BE7">
      <w:pPr>
        <w:pStyle w:val="Prrafodelista"/>
        <w:numPr>
          <w:ilvl w:val="0"/>
          <w:numId w:val="14"/>
        </w:numPr>
        <w:spacing w:after="160" w:line="259" w:lineRule="auto"/>
        <w:contextualSpacing/>
        <w:jc w:val="both"/>
        <w:rPr>
          <w:lang w:val="es-ES_tradnl"/>
        </w:rPr>
      </w:pPr>
      <w:r w:rsidRPr="0088712F">
        <w:rPr>
          <w:lang w:val="es-ES_tradnl"/>
        </w:rPr>
        <w:t>Cuota diferencial previa</w:t>
      </w:r>
      <w:r w:rsidR="008F3BE7" w:rsidRPr="0088712F">
        <w:rPr>
          <w:lang w:val="es-ES_tradnl"/>
        </w:rPr>
        <w:t xml:space="preserve"> (Casilla 578) La Cuota Diferencial Previa es la cuota final, o deuda tributaria, antes de descontar las retenciones y otros pagos a cuenta.</w:t>
      </w:r>
    </w:p>
    <w:p w14:paraId="107BC2B7" w14:textId="18DFD713" w:rsidR="008F3BE7" w:rsidRPr="0088712F" w:rsidRDefault="008F3BE7" w:rsidP="008F3BE7">
      <w:pPr>
        <w:pStyle w:val="Prrafodelista"/>
        <w:numPr>
          <w:ilvl w:val="0"/>
          <w:numId w:val="12"/>
        </w:numPr>
        <w:spacing w:after="160" w:line="259" w:lineRule="auto"/>
        <w:contextualSpacing/>
        <w:jc w:val="both"/>
        <w:rPr>
          <w:b/>
          <w:lang w:val="es-ES_tradnl"/>
        </w:rPr>
      </w:pPr>
      <w:r w:rsidRPr="0088712F">
        <w:rPr>
          <w:b/>
          <w:lang w:val="es-ES_tradnl"/>
        </w:rPr>
        <w:t>¿Cuántas personas potencialmente beneficiarias, no solicitaron la deducción?</w:t>
      </w:r>
    </w:p>
    <w:p w14:paraId="369CE555" w14:textId="77777777" w:rsidR="0088712F" w:rsidRDefault="008F3BE7" w:rsidP="008F3BE7">
      <w:pPr>
        <w:pStyle w:val="Prrafodelista"/>
        <w:jc w:val="both"/>
        <w:rPr>
          <w:lang w:val="es-ES_tradnl"/>
        </w:rPr>
      </w:pPr>
      <w:r w:rsidRPr="0088712F">
        <w:rPr>
          <w:lang w:val="es-ES_tradnl"/>
        </w:rPr>
        <w:lastRenderedPageBreak/>
        <w:t>La deducción no hay que solicitarla, se aplica de manera automática al confeccionar la declaración de IRPF del ejercicio 2022. Por tanto, la han aplicado todas las personas que hayan presentado su autoliquidación de IRPF correspondiente a 2022 y cumplan los requisitos exigidos en la norma.</w:t>
      </w:r>
    </w:p>
    <w:p w14:paraId="61D153F6" w14:textId="70C7A8A0" w:rsidR="008F3BE7" w:rsidRPr="0088712F" w:rsidRDefault="008F3BE7" w:rsidP="008F3BE7">
      <w:pPr>
        <w:pStyle w:val="Prrafodelista"/>
        <w:numPr>
          <w:ilvl w:val="0"/>
          <w:numId w:val="12"/>
        </w:numPr>
        <w:spacing w:after="160" w:line="259" w:lineRule="auto"/>
        <w:contextualSpacing/>
        <w:jc w:val="both"/>
        <w:rPr>
          <w:b/>
          <w:lang w:val="es-ES_tradnl"/>
        </w:rPr>
      </w:pPr>
      <w:r w:rsidRPr="0088712F">
        <w:rPr>
          <w:b/>
          <w:lang w:val="es-ES_tradnl"/>
        </w:rPr>
        <w:t>¿Qué acciones se realizaron desde el Gobierno de Navarra para informar sobre esta deducción al colectivo de personas potencialmente beneficiarias?</w:t>
      </w:r>
    </w:p>
    <w:p w14:paraId="368EE6E6" w14:textId="77777777" w:rsidR="008F3BE7" w:rsidRPr="0088712F" w:rsidRDefault="008F3BE7" w:rsidP="008F3BE7">
      <w:pPr>
        <w:pStyle w:val="Prrafodelista"/>
        <w:jc w:val="both"/>
        <w:rPr>
          <w:lang w:val="es-ES_tradnl"/>
        </w:rPr>
      </w:pPr>
      <w:r w:rsidRPr="0088712F">
        <w:rPr>
          <w:lang w:val="es-ES_tradnl"/>
        </w:rPr>
        <w:t>Se realizaron las acciones habituales en estos casos, en particular:</w:t>
      </w:r>
    </w:p>
    <w:p w14:paraId="233CD9ED" w14:textId="77777777" w:rsidR="008F3BE7" w:rsidRPr="0088712F" w:rsidRDefault="008F3BE7" w:rsidP="008F3BE7">
      <w:pPr>
        <w:pStyle w:val="Prrafodelista"/>
        <w:numPr>
          <w:ilvl w:val="0"/>
          <w:numId w:val="13"/>
        </w:numPr>
        <w:spacing w:after="160" w:line="259" w:lineRule="auto"/>
        <w:contextualSpacing/>
        <w:jc w:val="both"/>
        <w:rPr>
          <w:lang w:val="es-ES_tradnl"/>
        </w:rPr>
      </w:pPr>
      <w:r w:rsidRPr="0088712F">
        <w:rPr>
          <w:lang w:val="es-ES_tradnl"/>
        </w:rPr>
        <w:t xml:space="preserve">Publicación de la Ley Foral en el Boletín Oficial de Navarra (BON </w:t>
      </w:r>
      <w:proofErr w:type="spellStart"/>
      <w:r w:rsidRPr="0088712F">
        <w:rPr>
          <w:lang w:val="es-ES_tradnl"/>
        </w:rPr>
        <w:t>nº</w:t>
      </w:r>
      <w:proofErr w:type="spellEnd"/>
      <w:r w:rsidRPr="0088712F">
        <w:rPr>
          <w:lang w:val="es-ES_tradnl"/>
        </w:rPr>
        <w:t xml:space="preserve"> 250, de 15.12.22) </w:t>
      </w:r>
    </w:p>
    <w:p w14:paraId="708120CD" w14:textId="77777777" w:rsidR="008F3BE7" w:rsidRPr="0088712F" w:rsidRDefault="008F3BE7" w:rsidP="008F3BE7">
      <w:pPr>
        <w:pStyle w:val="Prrafodelista"/>
        <w:numPr>
          <w:ilvl w:val="0"/>
          <w:numId w:val="13"/>
        </w:numPr>
        <w:spacing w:after="160" w:line="259" w:lineRule="auto"/>
        <w:contextualSpacing/>
        <w:jc w:val="both"/>
        <w:rPr>
          <w:lang w:val="es-ES_tradnl"/>
        </w:rPr>
      </w:pPr>
      <w:r w:rsidRPr="0088712F">
        <w:rPr>
          <w:lang w:val="es-ES_tradnl"/>
        </w:rPr>
        <w:t>Canal de noticias de Gobierno de Navarra, prensa y radio:</w:t>
      </w:r>
    </w:p>
    <w:p w14:paraId="24D45228" w14:textId="77777777" w:rsidR="008F3BE7" w:rsidRPr="0088712F" w:rsidRDefault="008F3BE7" w:rsidP="0088712F">
      <w:pPr>
        <w:pStyle w:val="Prrafodelista"/>
        <w:numPr>
          <w:ilvl w:val="1"/>
          <w:numId w:val="15"/>
        </w:numPr>
        <w:spacing w:after="160" w:line="259" w:lineRule="auto"/>
        <w:contextualSpacing/>
        <w:jc w:val="both"/>
        <w:rPr>
          <w:lang w:val="es-ES_tradnl"/>
        </w:rPr>
      </w:pPr>
      <w:r w:rsidRPr="0088712F">
        <w:rPr>
          <w:lang w:val="es-ES_tradnl"/>
        </w:rPr>
        <w:t>Presentación del acuerdo (Noviembre -2022)</w:t>
      </w:r>
    </w:p>
    <w:p w14:paraId="0060A1C6" w14:textId="77777777" w:rsidR="008F3BE7" w:rsidRPr="0088712F" w:rsidRDefault="008F3BE7" w:rsidP="0088712F">
      <w:pPr>
        <w:pStyle w:val="Prrafodelista"/>
        <w:numPr>
          <w:ilvl w:val="1"/>
          <w:numId w:val="15"/>
        </w:numPr>
        <w:spacing w:after="160" w:line="259" w:lineRule="auto"/>
        <w:contextualSpacing/>
        <w:jc w:val="both"/>
        <w:rPr>
          <w:lang w:val="es-ES_tradnl"/>
        </w:rPr>
      </w:pPr>
      <w:r w:rsidRPr="0088712F">
        <w:rPr>
          <w:lang w:val="es-ES_tradnl"/>
        </w:rPr>
        <w:t>Presentación de Campaña de Renta (Marzo-2023)</w:t>
      </w:r>
    </w:p>
    <w:p w14:paraId="162AE939" w14:textId="77777777" w:rsidR="008F3BE7" w:rsidRPr="0088712F" w:rsidRDefault="008F3BE7" w:rsidP="008F3BE7">
      <w:pPr>
        <w:pStyle w:val="Prrafodelista"/>
        <w:numPr>
          <w:ilvl w:val="0"/>
          <w:numId w:val="13"/>
        </w:numPr>
        <w:spacing w:after="160" w:line="259" w:lineRule="auto"/>
        <w:contextualSpacing/>
        <w:jc w:val="both"/>
        <w:rPr>
          <w:lang w:val="es-ES_tradnl"/>
        </w:rPr>
      </w:pPr>
      <w:r w:rsidRPr="0088712F">
        <w:rPr>
          <w:lang w:val="es-ES_tradnl"/>
        </w:rPr>
        <w:t>Información sobre dicha deducción en la web de Hacienda Foral y especialmente en el material informativo y divulgativo ofrecido en el apartado web que se ofrece durante la Campaña de Renta.</w:t>
      </w:r>
    </w:p>
    <w:p w14:paraId="0741DD58" w14:textId="77777777" w:rsidR="008F3BE7" w:rsidRPr="0088712F" w:rsidRDefault="008F3BE7" w:rsidP="008F3BE7">
      <w:pPr>
        <w:pStyle w:val="Prrafodelista"/>
        <w:numPr>
          <w:ilvl w:val="0"/>
          <w:numId w:val="13"/>
        </w:numPr>
        <w:spacing w:after="160" w:line="259" w:lineRule="auto"/>
        <w:contextualSpacing/>
        <w:jc w:val="both"/>
        <w:rPr>
          <w:lang w:val="es-ES_tradnl"/>
        </w:rPr>
      </w:pPr>
      <w:r w:rsidRPr="0088712F">
        <w:rPr>
          <w:lang w:val="es-ES_tradnl"/>
        </w:rPr>
        <w:t>Atención a las numerosas consultas planteadas por los contribuyentes sobre esta deducción extraordinaria, tanto dentro como fuera de la Campaña de Renta (presenciales, telefónicas, por escrito o a través de la web de Hacienda Foral), por el personal del Servicio de Asistencia e Información al Contribuyente y el del Servicio de IRPF de la Hacienda Foral de Navarra.</w:t>
      </w:r>
    </w:p>
    <w:p w14:paraId="4E0D5124" w14:textId="34970C3E" w:rsidR="0088712F" w:rsidRDefault="00864DCD" w:rsidP="001C5BBC">
      <w:pPr>
        <w:spacing w:line="360" w:lineRule="auto"/>
        <w:rPr>
          <w:rFonts w:ascii="Arial" w:hAnsi="Arial" w:cs="Arial"/>
          <w:lang w:val="es-ES_tradnl"/>
        </w:rPr>
      </w:pPr>
      <w:r w:rsidRPr="0088712F">
        <w:rPr>
          <w:rFonts w:ascii="Arial" w:hAnsi="Arial" w:cs="Arial"/>
          <w:lang w:val="es-ES_tradnl"/>
        </w:rPr>
        <w:t xml:space="preserve">Es cuanto tengo el honor de informar. en cumplimiento de lo dispuesto en el artículo </w:t>
      </w:r>
      <w:r w:rsidR="00233022" w:rsidRPr="0088712F">
        <w:rPr>
          <w:rFonts w:ascii="Arial" w:hAnsi="Arial" w:cs="Arial"/>
          <w:lang w:val="es-ES_tradnl"/>
        </w:rPr>
        <w:t>215</w:t>
      </w:r>
      <w:r w:rsidRPr="0088712F">
        <w:rPr>
          <w:rFonts w:ascii="Arial" w:hAnsi="Arial" w:cs="Arial"/>
          <w:lang w:val="es-ES_tradnl"/>
        </w:rPr>
        <w:t xml:space="preserve"> del Reglamento del Parlamento de Navarra.</w:t>
      </w:r>
    </w:p>
    <w:p w14:paraId="78467961" w14:textId="77777777" w:rsidR="0088712F" w:rsidRDefault="001C5BBC" w:rsidP="001C5BBC">
      <w:pPr>
        <w:rPr>
          <w:rFonts w:ascii="Arial" w:hAnsi="Arial" w:cs="Arial"/>
          <w:lang w:val="es-ES_tradnl"/>
        </w:rPr>
      </w:pPr>
      <w:r w:rsidRPr="0088712F">
        <w:rPr>
          <w:rFonts w:ascii="Arial" w:hAnsi="Arial" w:cs="Arial"/>
          <w:lang w:val="es-ES_tradnl"/>
        </w:rPr>
        <w:t>Pamplona,</w:t>
      </w:r>
      <w:r w:rsidR="007631EC" w:rsidRPr="0088712F">
        <w:rPr>
          <w:rFonts w:ascii="Arial" w:hAnsi="Arial" w:cs="Arial"/>
          <w:lang w:val="es-ES_tradnl"/>
        </w:rPr>
        <w:t xml:space="preserve"> </w:t>
      </w:r>
      <w:r w:rsidR="00EB3E46" w:rsidRPr="0088712F">
        <w:rPr>
          <w:rFonts w:ascii="Arial" w:hAnsi="Arial" w:cs="Arial"/>
          <w:lang w:val="es-ES_tradnl"/>
        </w:rPr>
        <w:t>2</w:t>
      </w:r>
      <w:r w:rsidRPr="0088712F">
        <w:rPr>
          <w:rFonts w:ascii="Arial" w:hAnsi="Arial" w:cs="Arial"/>
          <w:lang w:val="es-ES_tradnl"/>
        </w:rPr>
        <w:t xml:space="preserve"> de </w:t>
      </w:r>
      <w:r w:rsidR="00EB3E46" w:rsidRPr="0088712F">
        <w:rPr>
          <w:rFonts w:ascii="Arial" w:hAnsi="Arial" w:cs="Arial"/>
          <w:lang w:val="es-ES_tradnl"/>
        </w:rPr>
        <w:t>noviembre</w:t>
      </w:r>
      <w:r w:rsidRPr="0088712F">
        <w:rPr>
          <w:rFonts w:ascii="Arial" w:hAnsi="Arial" w:cs="Arial"/>
          <w:lang w:val="es-ES_tradnl"/>
        </w:rPr>
        <w:t xml:space="preserve"> de 20</w:t>
      </w:r>
      <w:r w:rsidR="00797449" w:rsidRPr="0088712F">
        <w:rPr>
          <w:rFonts w:ascii="Arial" w:hAnsi="Arial" w:cs="Arial"/>
          <w:lang w:val="es-ES_tradnl"/>
        </w:rPr>
        <w:t>2</w:t>
      </w:r>
      <w:r w:rsidR="007631EC" w:rsidRPr="0088712F">
        <w:rPr>
          <w:rFonts w:ascii="Arial" w:hAnsi="Arial" w:cs="Arial"/>
          <w:lang w:val="es-ES_tradnl"/>
        </w:rPr>
        <w:t>3</w:t>
      </w:r>
      <w:r w:rsidRPr="0088712F">
        <w:rPr>
          <w:rFonts w:ascii="Arial" w:hAnsi="Arial" w:cs="Arial"/>
          <w:lang w:val="es-ES_tradnl"/>
        </w:rPr>
        <w:t>.</w:t>
      </w:r>
    </w:p>
    <w:p w14:paraId="27F2B301" w14:textId="77777777" w:rsidR="0088712F" w:rsidRDefault="007631EC" w:rsidP="001C5BBC">
      <w:pPr>
        <w:jc w:val="center"/>
        <w:rPr>
          <w:rFonts w:ascii="Arial" w:hAnsi="Arial" w:cs="Arial"/>
          <w:lang w:val="es-ES_tradnl"/>
        </w:rPr>
      </w:pPr>
      <w:r w:rsidRPr="0088712F">
        <w:rPr>
          <w:rFonts w:ascii="Arial" w:hAnsi="Arial" w:cs="Arial"/>
          <w:lang w:val="es-ES_tradnl"/>
        </w:rPr>
        <w:t>El</w:t>
      </w:r>
      <w:r w:rsidR="001C5BBC" w:rsidRPr="0088712F">
        <w:rPr>
          <w:rFonts w:ascii="Arial" w:hAnsi="Arial" w:cs="Arial"/>
          <w:lang w:val="es-ES_tradnl"/>
        </w:rPr>
        <w:t xml:space="preserve"> Consejer</w:t>
      </w:r>
      <w:r w:rsidRPr="0088712F">
        <w:rPr>
          <w:rFonts w:ascii="Arial" w:hAnsi="Arial" w:cs="Arial"/>
          <w:lang w:val="es-ES_tradnl"/>
        </w:rPr>
        <w:t>o</w:t>
      </w:r>
      <w:r w:rsidR="001C5BBC" w:rsidRPr="0088712F">
        <w:rPr>
          <w:rFonts w:ascii="Arial" w:hAnsi="Arial" w:cs="Arial"/>
          <w:lang w:val="es-ES_tradnl"/>
        </w:rPr>
        <w:t xml:space="preserve"> de </w:t>
      </w:r>
      <w:r w:rsidR="00DA1E27" w:rsidRPr="0088712F">
        <w:rPr>
          <w:rFonts w:ascii="Arial" w:hAnsi="Arial" w:cs="Arial"/>
          <w:lang w:val="es-ES_tradnl"/>
        </w:rPr>
        <w:t>Economí</w:t>
      </w:r>
      <w:r w:rsidR="00347443" w:rsidRPr="0088712F">
        <w:rPr>
          <w:rFonts w:ascii="Arial" w:hAnsi="Arial" w:cs="Arial"/>
          <w:lang w:val="es-ES_tradnl"/>
        </w:rPr>
        <w:t xml:space="preserve">a y </w:t>
      </w:r>
      <w:r w:rsidR="001C5BBC" w:rsidRPr="0088712F">
        <w:rPr>
          <w:rFonts w:ascii="Arial" w:hAnsi="Arial" w:cs="Arial"/>
          <w:lang w:val="es-ES_tradnl"/>
        </w:rPr>
        <w:t xml:space="preserve">Hacienda </w:t>
      </w:r>
    </w:p>
    <w:p w14:paraId="725E4BC5" w14:textId="77777777" w:rsidR="0088712F" w:rsidRDefault="007631EC" w:rsidP="001C5BBC">
      <w:pPr>
        <w:jc w:val="center"/>
        <w:rPr>
          <w:rFonts w:ascii="Arial" w:hAnsi="Arial" w:cs="Arial"/>
          <w:lang w:val="es-ES_tradnl"/>
        </w:rPr>
      </w:pPr>
      <w:r w:rsidRPr="0088712F">
        <w:rPr>
          <w:rFonts w:ascii="Arial" w:hAnsi="Arial" w:cs="Arial"/>
          <w:lang w:val="es-ES_tradnl"/>
        </w:rPr>
        <w:t xml:space="preserve">José Luis </w:t>
      </w:r>
      <w:proofErr w:type="spellStart"/>
      <w:r w:rsidRPr="0088712F">
        <w:rPr>
          <w:rFonts w:ascii="Arial" w:hAnsi="Arial" w:cs="Arial"/>
          <w:lang w:val="es-ES_tradnl"/>
        </w:rPr>
        <w:t>Arasti</w:t>
      </w:r>
      <w:proofErr w:type="spellEnd"/>
      <w:r w:rsidRPr="0088712F">
        <w:rPr>
          <w:rFonts w:ascii="Arial" w:hAnsi="Arial" w:cs="Arial"/>
          <w:lang w:val="es-ES_tradnl"/>
        </w:rPr>
        <w:t xml:space="preserve"> Pérez</w:t>
      </w:r>
    </w:p>
    <w:sectPr w:rsidR="008871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7"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809416F"/>
    <w:multiLevelType w:val="hybridMultilevel"/>
    <w:tmpl w:val="64F80D56"/>
    <w:lvl w:ilvl="0" w:tplc="FFFFFFFF">
      <w:start w:val="1"/>
      <w:numFmt w:val="bullet"/>
      <w:lvlText w:val=""/>
      <w:lvlJc w:val="left"/>
      <w:pPr>
        <w:ind w:left="1492" w:hanging="360"/>
      </w:pPr>
      <w:rPr>
        <w:rFonts w:ascii="Symbol" w:hAnsi="Symbol" w:hint="default"/>
      </w:rPr>
    </w:lvl>
    <w:lvl w:ilvl="1" w:tplc="0C0A000D">
      <w:start w:val="1"/>
      <w:numFmt w:val="bullet"/>
      <w:lvlText w:val=""/>
      <w:lvlJc w:val="left"/>
      <w:pPr>
        <w:ind w:left="2212" w:hanging="360"/>
      </w:pPr>
      <w:rPr>
        <w:rFonts w:ascii="Wingdings" w:hAnsi="Wingdings" w:hint="default"/>
      </w:rPr>
    </w:lvl>
    <w:lvl w:ilvl="2" w:tplc="FFFFFFFF" w:tentative="1">
      <w:start w:val="1"/>
      <w:numFmt w:val="bullet"/>
      <w:lvlText w:val=""/>
      <w:lvlJc w:val="left"/>
      <w:pPr>
        <w:ind w:left="2932" w:hanging="360"/>
      </w:pPr>
      <w:rPr>
        <w:rFonts w:ascii="Wingdings" w:hAnsi="Wingdings" w:hint="default"/>
      </w:rPr>
    </w:lvl>
    <w:lvl w:ilvl="3" w:tplc="FFFFFFFF" w:tentative="1">
      <w:start w:val="1"/>
      <w:numFmt w:val="bullet"/>
      <w:lvlText w:val=""/>
      <w:lvlJc w:val="left"/>
      <w:pPr>
        <w:ind w:left="3652" w:hanging="360"/>
      </w:pPr>
      <w:rPr>
        <w:rFonts w:ascii="Symbol" w:hAnsi="Symbol" w:hint="default"/>
      </w:rPr>
    </w:lvl>
    <w:lvl w:ilvl="4" w:tplc="FFFFFFFF" w:tentative="1">
      <w:start w:val="1"/>
      <w:numFmt w:val="bullet"/>
      <w:lvlText w:val="o"/>
      <w:lvlJc w:val="left"/>
      <w:pPr>
        <w:ind w:left="4372" w:hanging="360"/>
      </w:pPr>
      <w:rPr>
        <w:rFonts w:ascii="Courier New" w:hAnsi="Courier New" w:cs="Courier New" w:hint="default"/>
      </w:rPr>
    </w:lvl>
    <w:lvl w:ilvl="5" w:tplc="FFFFFFFF" w:tentative="1">
      <w:start w:val="1"/>
      <w:numFmt w:val="bullet"/>
      <w:lvlText w:val=""/>
      <w:lvlJc w:val="left"/>
      <w:pPr>
        <w:ind w:left="5092" w:hanging="360"/>
      </w:pPr>
      <w:rPr>
        <w:rFonts w:ascii="Wingdings" w:hAnsi="Wingdings" w:hint="default"/>
      </w:rPr>
    </w:lvl>
    <w:lvl w:ilvl="6" w:tplc="FFFFFFFF" w:tentative="1">
      <w:start w:val="1"/>
      <w:numFmt w:val="bullet"/>
      <w:lvlText w:val=""/>
      <w:lvlJc w:val="left"/>
      <w:pPr>
        <w:ind w:left="5812" w:hanging="360"/>
      </w:pPr>
      <w:rPr>
        <w:rFonts w:ascii="Symbol" w:hAnsi="Symbol" w:hint="default"/>
      </w:rPr>
    </w:lvl>
    <w:lvl w:ilvl="7" w:tplc="FFFFFFFF" w:tentative="1">
      <w:start w:val="1"/>
      <w:numFmt w:val="bullet"/>
      <w:lvlText w:val="o"/>
      <w:lvlJc w:val="left"/>
      <w:pPr>
        <w:ind w:left="6532" w:hanging="360"/>
      </w:pPr>
      <w:rPr>
        <w:rFonts w:ascii="Courier New" w:hAnsi="Courier New" w:cs="Courier New" w:hint="default"/>
      </w:rPr>
    </w:lvl>
    <w:lvl w:ilvl="8" w:tplc="FFFFFFFF" w:tentative="1">
      <w:start w:val="1"/>
      <w:numFmt w:val="bullet"/>
      <w:lvlText w:val=""/>
      <w:lvlJc w:val="left"/>
      <w:pPr>
        <w:ind w:left="7252" w:hanging="360"/>
      </w:pPr>
      <w:rPr>
        <w:rFonts w:ascii="Wingdings" w:hAnsi="Wingdings" w:hint="default"/>
      </w:rPr>
    </w:lvl>
  </w:abstractNum>
  <w:num w:numId="1" w16cid:durableId="1429542233">
    <w:abstractNumId w:val="4"/>
  </w:num>
  <w:num w:numId="2" w16cid:durableId="1739476171">
    <w:abstractNumId w:val="5"/>
  </w:num>
  <w:num w:numId="3" w16cid:durableId="196033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324833">
    <w:abstractNumId w:val="2"/>
  </w:num>
  <w:num w:numId="5" w16cid:durableId="102385521">
    <w:abstractNumId w:val="13"/>
  </w:num>
  <w:num w:numId="6" w16cid:durableId="1252738051">
    <w:abstractNumId w:val="1"/>
  </w:num>
  <w:num w:numId="7" w16cid:durableId="1382241991">
    <w:abstractNumId w:val="0"/>
  </w:num>
  <w:num w:numId="8" w16cid:durableId="1158611132">
    <w:abstractNumId w:val="11"/>
  </w:num>
  <w:num w:numId="9" w16cid:durableId="907614832">
    <w:abstractNumId w:val="3"/>
  </w:num>
  <w:num w:numId="10" w16cid:durableId="383263183">
    <w:abstractNumId w:val="12"/>
  </w:num>
  <w:num w:numId="11" w16cid:durableId="1566793922">
    <w:abstractNumId w:val="9"/>
  </w:num>
  <w:num w:numId="12" w16cid:durableId="548231077">
    <w:abstractNumId w:val="10"/>
  </w:num>
  <w:num w:numId="13" w16cid:durableId="199172154">
    <w:abstractNumId w:val="6"/>
  </w:num>
  <w:num w:numId="14" w16cid:durableId="1370031975">
    <w:abstractNumId w:val="8"/>
  </w:num>
  <w:num w:numId="15" w16cid:durableId="213571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1C5BBC"/>
    <w:rsid w:val="00233022"/>
    <w:rsid w:val="00251B06"/>
    <w:rsid w:val="002F3FFC"/>
    <w:rsid w:val="00304774"/>
    <w:rsid w:val="00347443"/>
    <w:rsid w:val="0042675C"/>
    <w:rsid w:val="00444D0E"/>
    <w:rsid w:val="00544CBD"/>
    <w:rsid w:val="00561BAD"/>
    <w:rsid w:val="00576FE2"/>
    <w:rsid w:val="005952AA"/>
    <w:rsid w:val="005C03DB"/>
    <w:rsid w:val="005F4F36"/>
    <w:rsid w:val="007138FD"/>
    <w:rsid w:val="0073692F"/>
    <w:rsid w:val="007631EC"/>
    <w:rsid w:val="00797449"/>
    <w:rsid w:val="00837E35"/>
    <w:rsid w:val="00850078"/>
    <w:rsid w:val="00864DCD"/>
    <w:rsid w:val="0088712F"/>
    <w:rsid w:val="00891E3A"/>
    <w:rsid w:val="008F3BE7"/>
    <w:rsid w:val="00A01D43"/>
    <w:rsid w:val="00A7703E"/>
    <w:rsid w:val="00B36692"/>
    <w:rsid w:val="00B77D52"/>
    <w:rsid w:val="00BF546F"/>
    <w:rsid w:val="00D31F43"/>
    <w:rsid w:val="00DA07FB"/>
    <w:rsid w:val="00DA1E27"/>
    <w:rsid w:val="00E04955"/>
    <w:rsid w:val="00E16C01"/>
    <w:rsid w:val="00E61A08"/>
    <w:rsid w:val="00E87145"/>
    <w:rsid w:val="00E95393"/>
    <w:rsid w:val="00EB3E46"/>
    <w:rsid w:val="00F16219"/>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C655"/>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417</Words>
  <Characters>3278</Characters>
  <Application>Microsoft Office Word</Application>
  <DocSecurity>0</DocSecurity>
  <Lines>819</Lines>
  <Paragraphs>307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Aranaz, Carlota</cp:lastModifiedBy>
  <cp:revision>31</cp:revision>
  <dcterms:created xsi:type="dcterms:W3CDTF">2019-07-29T08:37:00Z</dcterms:created>
  <dcterms:modified xsi:type="dcterms:W3CDTF">2024-01-09T10:43:00Z</dcterms:modified>
</cp:coreProperties>
</file>