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FB40" w14:textId="2C1DED55" w:rsidR="00211860" w:rsidRPr="00A34181" w:rsidRDefault="009E53FB" w:rsidP="007A14AD">
      <w:pPr>
        <w:ind w:firstLine="540"/>
        <w:rPr>
          <w:color w:val="000000"/>
          <w:sz w:val="22"/>
          <w:szCs w:val="22"/>
          <w:rFonts w:cs="Arial"/>
        </w:rPr>
      </w:pPr>
      <w:r>
        <w:rPr>
          <w:color w:val="000000"/>
          <w:sz w:val="22"/>
        </w:rPr>
        <w:t xml:space="preserve">Azaroaren 3a</w:t>
      </w:r>
    </w:p>
    <w:p w14:paraId="2D5D8FCA" w14:textId="77777777" w:rsidR="009E53FB" w:rsidRDefault="00711C11" w:rsidP="00711C11">
      <w:pPr>
        <w:pStyle w:val="Textoindependiente"/>
        <w:spacing w:line="360" w:lineRule="auto"/>
        <w:ind w:firstLine="708"/>
        <w:rPr>
          <w:sz w:val="22"/>
          <w:szCs w:val="22"/>
          <w:rFonts w:cs="Arial"/>
        </w:rPr>
      </w:pPr>
      <w:r>
        <w:rPr>
          <w:sz w:val="22"/>
        </w:rPr>
        <w:t xml:space="preserve">EH Bildu Nafarroa talde parlamentarioari atxikitako foru parlamentari</w:t>
      </w:r>
      <w:bookmarkStart w:id="0" w:name="Listadesplegable5"/>
      <w:r>
        <w:rPr>
          <w:sz w:val="22"/>
        </w:rPr>
        <w:t xml:space="preserve"> Adolfo Araiz Flamarique </w:t>
      </w:r>
      <w:bookmarkEnd w:id="0"/>
      <w:r>
        <w:rPr>
          <w:sz w:val="22"/>
        </w:rPr>
        <w:t xml:space="preserve">jaunak 11-23/PES-00129 informazio eskaera egin du, Hondakinen Funtserako bildutako zenbatekoei buruz. Hona hemen Landa Garapeneko eta Ingurumeneko kontseilariak horri buruz ematen dion informazioa:</w:t>
      </w:r>
    </w:p>
    <w:p w14:paraId="40F7B6AD" w14:textId="77777777" w:rsidR="009E53FB" w:rsidRDefault="00711C11" w:rsidP="00711C11">
      <w:pPr>
        <w:rPr>
          <w:i/>
          <w:sz w:val="22"/>
          <w:szCs w:val="22"/>
          <w:rFonts w:cs="Arial"/>
        </w:rPr>
      </w:pPr>
      <w:r>
        <w:rPr>
          <w:sz w:val="22"/>
          <w:i/>
          <w:b/>
        </w:rPr>
        <w:t xml:space="preserve">1. Galdera</w:t>
      </w:r>
      <w:r>
        <w:rPr>
          <w:sz w:val="22"/>
          <w:i/>
        </w:rPr>
        <w:t xml:space="preserve">-</w:t>
      </w:r>
      <w:r>
        <w:rPr>
          <w:sz w:val="22"/>
        </w:rPr>
        <w:t xml:space="preserve"> </w:t>
      </w:r>
      <w:r>
        <w:rPr>
          <w:sz w:val="22"/>
          <w:i/>
        </w:rPr>
        <w:t xml:space="preserve">Zenbat diru bildu da 2019tik 2022ra bitarteko urte bakoitzean hondakindegian ezabatzearen eta erraustearen gaineko zergaren bidez Hondakinen Funtserako?</w:t>
      </w:r>
    </w:p>
    <w:p w14:paraId="54A832EB" w14:textId="796208C7" w:rsidR="00711C11" w:rsidRPr="00A34181" w:rsidRDefault="00711C11" w:rsidP="00711C11">
      <w:pPr>
        <w:rPr>
          <w:rFonts w:cs="Arial"/>
          <w:b/>
          <w:sz w:val="22"/>
          <w:szCs w:val="22"/>
        </w:rPr>
      </w:pPr>
    </w:p>
    <w:tbl>
      <w:tblPr>
        <w:tblW w:w="2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0"/>
        <w:gridCol w:w="1425"/>
      </w:tblGrid>
      <w:tr w:rsidR="00711C11" w:rsidRPr="00A34181" w14:paraId="449AC1CD" w14:textId="77777777" w:rsidTr="002A6BDB">
        <w:trPr>
          <w:trHeight w:val="288"/>
          <w:jc w:val="center"/>
        </w:trPr>
        <w:tc>
          <w:tcPr>
            <w:tcW w:w="1240" w:type="dxa"/>
            <w:shd w:val="clear" w:color="auto" w:fill="auto"/>
            <w:noWrap/>
            <w:vAlign w:val="bottom"/>
          </w:tcPr>
          <w:p w14:paraId="53B65177" w14:textId="77777777" w:rsidR="00711C11" w:rsidRPr="00A34181" w:rsidRDefault="00711C11" w:rsidP="002A6BDB">
            <w:pPr>
              <w:spacing w:line="240" w:lineRule="auto"/>
              <w:jc w:val="center"/>
              <w:rPr>
                <w:b/>
                <w:bCs/>
                <w:sz w:val="22"/>
                <w:szCs w:val="22"/>
                <w:rFonts w:cs="Arial"/>
              </w:rPr>
            </w:pPr>
            <w:r>
              <w:rPr>
                <w:b/>
                <w:sz w:val="22"/>
              </w:rPr>
              <w:t xml:space="preserve">Urtea</w:t>
            </w:r>
          </w:p>
        </w:tc>
        <w:tc>
          <w:tcPr>
            <w:tcW w:w="1240" w:type="dxa"/>
            <w:shd w:val="clear" w:color="auto" w:fill="auto"/>
            <w:noWrap/>
            <w:vAlign w:val="bottom"/>
          </w:tcPr>
          <w:p w14:paraId="146011E2" w14:textId="77777777" w:rsidR="00711C11" w:rsidRPr="00A34181" w:rsidRDefault="00711C11" w:rsidP="002A6BDB">
            <w:pPr>
              <w:spacing w:line="240" w:lineRule="auto"/>
              <w:jc w:val="center"/>
              <w:rPr>
                <w:b/>
                <w:bCs/>
                <w:sz w:val="22"/>
                <w:szCs w:val="22"/>
                <w:rFonts w:cs="Arial"/>
              </w:rPr>
            </w:pPr>
            <w:r>
              <w:rPr>
                <w:b/>
                <w:sz w:val="22"/>
              </w:rPr>
              <w:t xml:space="preserve">€</w:t>
            </w:r>
          </w:p>
        </w:tc>
      </w:tr>
      <w:tr w:rsidR="00711C11" w:rsidRPr="00A34181" w14:paraId="23E40D37" w14:textId="77777777" w:rsidTr="002A6BDB">
        <w:trPr>
          <w:trHeight w:val="288"/>
          <w:jc w:val="center"/>
        </w:trPr>
        <w:tc>
          <w:tcPr>
            <w:tcW w:w="1240" w:type="dxa"/>
            <w:shd w:val="clear" w:color="auto" w:fill="auto"/>
            <w:noWrap/>
            <w:vAlign w:val="bottom"/>
          </w:tcPr>
          <w:p w14:paraId="00099FE1" w14:textId="77777777" w:rsidR="00711C11" w:rsidRPr="00A34181" w:rsidRDefault="00711C11" w:rsidP="002A6BDB">
            <w:pPr>
              <w:spacing w:line="240" w:lineRule="auto"/>
              <w:jc w:val="center"/>
              <w:rPr>
                <w:sz w:val="22"/>
                <w:szCs w:val="22"/>
                <w:rFonts w:cs="Arial"/>
              </w:rPr>
            </w:pPr>
            <w:r>
              <w:rPr>
                <w:sz w:val="22"/>
              </w:rPr>
              <w:t xml:space="preserve">2018</w:t>
            </w:r>
          </w:p>
        </w:tc>
        <w:tc>
          <w:tcPr>
            <w:tcW w:w="1240" w:type="dxa"/>
            <w:shd w:val="clear" w:color="auto" w:fill="auto"/>
            <w:noWrap/>
            <w:vAlign w:val="bottom"/>
          </w:tcPr>
          <w:p w14:paraId="0C473C61" w14:textId="77777777" w:rsidR="00711C11" w:rsidRPr="00A34181" w:rsidRDefault="00711C11" w:rsidP="002A6BDB">
            <w:pPr>
              <w:spacing w:line="240" w:lineRule="auto"/>
              <w:jc w:val="right"/>
              <w:rPr>
                <w:sz w:val="22"/>
                <w:szCs w:val="22"/>
                <w:rFonts w:cs="Arial"/>
              </w:rPr>
            </w:pPr>
            <w:r>
              <w:rPr>
                <w:sz w:val="22"/>
              </w:rPr>
              <w:t xml:space="preserve">1.351.940,68</w:t>
            </w:r>
          </w:p>
        </w:tc>
      </w:tr>
      <w:tr w:rsidR="00711C11" w:rsidRPr="00A34181" w14:paraId="3AC85619" w14:textId="77777777" w:rsidTr="002A6BDB">
        <w:trPr>
          <w:trHeight w:val="288"/>
          <w:jc w:val="center"/>
        </w:trPr>
        <w:tc>
          <w:tcPr>
            <w:tcW w:w="1240" w:type="dxa"/>
            <w:shd w:val="clear" w:color="auto" w:fill="auto"/>
            <w:noWrap/>
            <w:vAlign w:val="bottom"/>
          </w:tcPr>
          <w:p w14:paraId="7EDBAC0C" w14:textId="77777777" w:rsidR="00711C11" w:rsidRPr="00A34181" w:rsidRDefault="00711C11" w:rsidP="002A6BDB">
            <w:pPr>
              <w:spacing w:line="240" w:lineRule="auto"/>
              <w:jc w:val="center"/>
              <w:rPr>
                <w:sz w:val="22"/>
                <w:szCs w:val="22"/>
                <w:rFonts w:cs="Arial"/>
              </w:rPr>
            </w:pPr>
            <w:r>
              <w:rPr>
                <w:sz w:val="22"/>
              </w:rPr>
              <w:t xml:space="preserve">2019</w:t>
            </w:r>
          </w:p>
        </w:tc>
        <w:tc>
          <w:tcPr>
            <w:tcW w:w="1240" w:type="dxa"/>
            <w:shd w:val="clear" w:color="auto" w:fill="auto"/>
            <w:noWrap/>
            <w:vAlign w:val="bottom"/>
          </w:tcPr>
          <w:p w14:paraId="4C643169" w14:textId="77777777" w:rsidR="00711C11" w:rsidRPr="00A34181" w:rsidRDefault="00711C11" w:rsidP="002A6BDB">
            <w:pPr>
              <w:spacing w:line="240" w:lineRule="auto"/>
              <w:jc w:val="center"/>
              <w:rPr>
                <w:sz w:val="22"/>
                <w:szCs w:val="22"/>
                <w:rFonts w:cs="Arial"/>
              </w:rPr>
            </w:pPr>
            <w:r>
              <w:rPr>
                <w:sz w:val="22"/>
              </w:rPr>
              <w:t xml:space="preserve">4.944.777,71</w:t>
            </w:r>
          </w:p>
        </w:tc>
      </w:tr>
      <w:tr w:rsidR="00711C11" w:rsidRPr="00A34181" w14:paraId="37DA27A6" w14:textId="77777777" w:rsidTr="002A6BDB">
        <w:trPr>
          <w:trHeight w:val="288"/>
          <w:jc w:val="center"/>
        </w:trPr>
        <w:tc>
          <w:tcPr>
            <w:tcW w:w="1240" w:type="dxa"/>
            <w:shd w:val="clear" w:color="auto" w:fill="auto"/>
            <w:noWrap/>
            <w:vAlign w:val="bottom"/>
          </w:tcPr>
          <w:p w14:paraId="329BC577" w14:textId="77777777" w:rsidR="00711C11" w:rsidRPr="00A34181" w:rsidRDefault="00711C11" w:rsidP="002A6BDB">
            <w:pPr>
              <w:spacing w:line="240" w:lineRule="auto"/>
              <w:jc w:val="center"/>
              <w:rPr>
                <w:sz w:val="22"/>
                <w:szCs w:val="22"/>
                <w:rFonts w:cs="Arial"/>
              </w:rPr>
            </w:pPr>
            <w:r>
              <w:rPr>
                <w:sz w:val="22"/>
              </w:rPr>
              <w:t xml:space="preserve">2020</w:t>
            </w:r>
          </w:p>
        </w:tc>
        <w:tc>
          <w:tcPr>
            <w:tcW w:w="1240" w:type="dxa"/>
            <w:shd w:val="clear" w:color="auto" w:fill="auto"/>
            <w:noWrap/>
            <w:vAlign w:val="bottom"/>
          </w:tcPr>
          <w:p w14:paraId="1CF32B8B" w14:textId="77777777" w:rsidR="00711C11" w:rsidRPr="00A34181" w:rsidRDefault="00711C11" w:rsidP="002A6BDB">
            <w:pPr>
              <w:spacing w:line="240" w:lineRule="auto"/>
              <w:jc w:val="center"/>
              <w:rPr>
                <w:sz w:val="22"/>
                <w:szCs w:val="22"/>
                <w:rFonts w:cs="Arial"/>
              </w:rPr>
            </w:pPr>
            <w:r>
              <w:rPr>
                <w:sz w:val="22"/>
              </w:rPr>
              <w:t xml:space="preserve">5.202.605,64</w:t>
            </w:r>
          </w:p>
        </w:tc>
      </w:tr>
      <w:tr w:rsidR="00711C11" w:rsidRPr="00A34181" w14:paraId="44CC584A" w14:textId="77777777" w:rsidTr="002A6BDB">
        <w:trPr>
          <w:trHeight w:val="288"/>
          <w:jc w:val="center"/>
        </w:trPr>
        <w:tc>
          <w:tcPr>
            <w:tcW w:w="1240" w:type="dxa"/>
            <w:shd w:val="clear" w:color="auto" w:fill="auto"/>
            <w:noWrap/>
            <w:vAlign w:val="bottom"/>
          </w:tcPr>
          <w:p w14:paraId="472FCEF7" w14:textId="77777777" w:rsidR="00711C11" w:rsidRPr="00A34181" w:rsidRDefault="00711C11" w:rsidP="002A6BDB">
            <w:pPr>
              <w:spacing w:line="240" w:lineRule="auto"/>
              <w:jc w:val="center"/>
              <w:rPr>
                <w:sz w:val="22"/>
                <w:szCs w:val="22"/>
                <w:rFonts w:cs="Arial"/>
              </w:rPr>
            </w:pPr>
            <w:r>
              <w:rPr>
                <w:sz w:val="22"/>
              </w:rPr>
              <w:t xml:space="preserve">2021</w:t>
            </w:r>
          </w:p>
        </w:tc>
        <w:tc>
          <w:tcPr>
            <w:tcW w:w="1240" w:type="dxa"/>
            <w:shd w:val="clear" w:color="auto" w:fill="auto"/>
            <w:noWrap/>
            <w:vAlign w:val="bottom"/>
          </w:tcPr>
          <w:p w14:paraId="1023B466" w14:textId="77777777" w:rsidR="00711C11" w:rsidRPr="00A34181" w:rsidRDefault="00711C11" w:rsidP="002A6BDB">
            <w:pPr>
              <w:spacing w:line="240" w:lineRule="auto"/>
              <w:jc w:val="center"/>
              <w:rPr>
                <w:sz w:val="22"/>
                <w:szCs w:val="22"/>
                <w:rFonts w:cs="Arial"/>
              </w:rPr>
            </w:pPr>
            <w:r>
              <w:rPr>
                <w:sz w:val="22"/>
              </w:rPr>
              <w:t xml:space="preserve">5.202.605,64</w:t>
            </w:r>
          </w:p>
        </w:tc>
      </w:tr>
      <w:tr w:rsidR="00711C11" w:rsidRPr="00A34181" w14:paraId="5EE2E807" w14:textId="77777777" w:rsidTr="002A6BDB">
        <w:trPr>
          <w:trHeight w:val="288"/>
          <w:jc w:val="center"/>
        </w:trPr>
        <w:tc>
          <w:tcPr>
            <w:tcW w:w="1240" w:type="dxa"/>
            <w:shd w:val="clear" w:color="auto" w:fill="auto"/>
            <w:noWrap/>
            <w:vAlign w:val="bottom"/>
          </w:tcPr>
          <w:p w14:paraId="6E63E14D" w14:textId="77777777" w:rsidR="00711C11" w:rsidRPr="00A34181" w:rsidRDefault="00711C11" w:rsidP="002A6BDB">
            <w:pPr>
              <w:spacing w:line="240" w:lineRule="auto"/>
              <w:jc w:val="center"/>
              <w:rPr>
                <w:sz w:val="22"/>
                <w:szCs w:val="22"/>
                <w:rFonts w:cs="Arial"/>
              </w:rPr>
            </w:pPr>
            <w:r>
              <w:rPr>
                <w:sz w:val="22"/>
              </w:rPr>
              <w:t xml:space="preserve">2022</w:t>
            </w:r>
          </w:p>
        </w:tc>
        <w:tc>
          <w:tcPr>
            <w:tcW w:w="1240" w:type="dxa"/>
            <w:shd w:val="clear" w:color="auto" w:fill="auto"/>
            <w:noWrap/>
            <w:vAlign w:val="bottom"/>
          </w:tcPr>
          <w:p w14:paraId="08C73FB0" w14:textId="77777777" w:rsidR="00711C11" w:rsidRPr="00A34181" w:rsidRDefault="00711C11" w:rsidP="002A6BDB">
            <w:pPr>
              <w:spacing w:line="240" w:lineRule="auto"/>
              <w:jc w:val="center"/>
              <w:rPr>
                <w:sz w:val="22"/>
                <w:szCs w:val="22"/>
                <w:rFonts w:cs="Arial"/>
              </w:rPr>
            </w:pPr>
            <w:r>
              <w:rPr>
                <w:sz w:val="22"/>
              </w:rPr>
              <w:t xml:space="preserve">5.068.468,91</w:t>
            </w:r>
          </w:p>
        </w:tc>
      </w:tr>
    </w:tbl>
    <w:p w14:paraId="6A48B9E8" w14:textId="77777777" w:rsidR="009E53FB" w:rsidRDefault="009E53FB" w:rsidP="00711C11">
      <w:pPr>
        <w:rPr>
          <w:rFonts w:cs="Arial"/>
          <w:b/>
          <w:sz w:val="22"/>
          <w:szCs w:val="22"/>
        </w:rPr>
      </w:pPr>
    </w:p>
    <w:p w14:paraId="7BF7814D" w14:textId="77777777" w:rsidR="009E53FB" w:rsidRDefault="00711C11" w:rsidP="00711C11">
      <w:pPr>
        <w:rPr>
          <w:i/>
          <w:sz w:val="22"/>
          <w:szCs w:val="22"/>
          <w:rFonts w:cs="Arial"/>
        </w:rPr>
      </w:pPr>
      <w:r>
        <w:rPr>
          <w:i/>
          <w:sz w:val="22"/>
          <w:b/>
        </w:rPr>
        <w:t xml:space="preserve">2. Galdera</w:t>
      </w:r>
      <w:r>
        <w:rPr>
          <w:i/>
          <w:sz w:val="22"/>
        </w:rPr>
        <w:t xml:space="preserve">- Ba al dago entitate pribatu edo publikorik 2019tik 2022ra bitarte zorretan dagoena isurketa-zergaren likidazioak direla-eta?</w:t>
      </w:r>
      <w:r>
        <w:rPr>
          <w:i/>
          <w:sz w:val="22"/>
        </w:rPr>
        <w:t xml:space="preserve"> </w:t>
      </w:r>
      <w:r>
        <w:rPr>
          <w:i/>
          <w:sz w:val="22"/>
        </w:rPr>
        <w:t xml:space="preserve">Zer erakunde eta zenbatekoa da zorra?</w:t>
      </w:r>
    </w:p>
    <w:p w14:paraId="64FCC740" w14:textId="77777777" w:rsidR="009E53FB" w:rsidRDefault="00137AD1" w:rsidP="00514CA5">
      <w:pPr>
        <w:spacing w:line="240" w:lineRule="auto"/>
        <w:ind w:firstLine="708"/>
        <w:rPr>
          <w:sz w:val="22"/>
          <w:szCs w:val="22"/>
          <w:rFonts w:cs="Arial"/>
        </w:rPr>
      </w:pPr>
      <w:r>
        <w:rPr>
          <w:sz w:val="22"/>
        </w:rPr>
        <w:t xml:space="preserve">Zerga gaietan eskuduna den departamentuari dagokio hondakindegian ezabatzearen eta erraustearen gaineko zerga kudeatzea, Tributuei buruzko abenduaren 14ko 13/2000 Foru Lege Orokorrean eta Hondakinei eta haien Fiskalitateari buruzko ekainaren 18ko 14/2018 Foru Legean jasotakoarekin bat.</w:t>
      </w:r>
    </w:p>
    <w:p w14:paraId="38CAAF10" w14:textId="77777777" w:rsidR="009E53FB" w:rsidRDefault="00137AD1" w:rsidP="00514CA5">
      <w:pPr>
        <w:spacing w:line="240" w:lineRule="auto"/>
        <w:ind w:firstLine="708"/>
        <w:rPr>
          <w:sz w:val="22"/>
          <w:szCs w:val="22"/>
          <w:rFonts w:cs="Arial"/>
        </w:rPr>
      </w:pPr>
      <w:r>
        <w:rPr>
          <w:sz w:val="22"/>
        </w:rPr>
        <w:t xml:space="preserve">Departamentu horrek ez du jakin entitate pribatu edo publikorik dagoen 2019tik 2022ra bitarte zorretan dagoenik isurketa-zergaren likidazioak direla-eta.</w:t>
      </w:r>
    </w:p>
    <w:p w14:paraId="0CC06526" w14:textId="0310DBBE" w:rsidR="00711C11" w:rsidRPr="00A34181" w:rsidRDefault="00711C11" w:rsidP="00711C11">
      <w:pPr>
        <w:rPr>
          <w:b/>
          <w:i/>
          <w:sz w:val="22"/>
          <w:szCs w:val="22"/>
          <w:rFonts w:cs="Arial"/>
        </w:rPr>
      </w:pPr>
      <w:r>
        <w:br w:type="page"/>
      </w:r>
    </w:p>
    <w:p w14:paraId="7A32CBD3" w14:textId="77777777" w:rsidR="009E53FB" w:rsidRDefault="00711C11" w:rsidP="00711C11">
      <w:pPr>
        <w:rPr>
          <w:i/>
          <w:sz w:val="22"/>
          <w:szCs w:val="22"/>
          <w:rFonts w:cs="Arial"/>
        </w:rPr>
      </w:pPr>
      <w:r>
        <w:rPr>
          <w:i/>
          <w:sz w:val="22"/>
          <w:b/>
        </w:rPr>
        <w:t xml:space="preserve">3. Galdera</w:t>
      </w:r>
      <w:r>
        <w:rPr>
          <w:i/>
          <w:sz w:val="22"/>
        </w:rPr>
        <w:t xml:space="preserve">- Hondakinen Funtsetik dirulaguntzetara bideratu beharreko zer zenbateko ez da gastatu?</w:t>
      </w:r>
      <w:r>
        <w:rPr>
          <w:i/>
          <w:sz w:val="22"/>
        </w:rPr>
        <w:t xml:space="preserve"> </w:t>
      </w:r>
      <w:r>
        <w:rPr>
          <w:i/>
          <w:sz w:val="22"/>
        </w:rPr>
        <w:t xml:space="preserve">Hondakinen Funtseko fluxu bakoitzerako zer zenbateko dagokio 2019tik 2022ra bitarteko urte bakoitzari?</w:t>
      </w:r>
    </w:p>
    <w:p w14:paraId="53070987" w14:textId="7C30E0F3" w:rsidR="00137AD1" w:rsidRPr="00A34181" w:rsidRDefault="00137AD1" w:rsidP="00137AD1">
      <w:pPr>
        <w:ind w:firstLine="709"/>
        <w:rPr>
          <w:sz w:val="22"/>
          <w:szCs w:val="22"/>
          <w:rFonts w:cs="Arial"/>
        </w:rPr>
      </w:pPr>
      <w:r>
        <w:rPr>
          <w:sz w:val="22"/>
        </w:rPr>
        <w:t xml:space="preserve">Jarraian jasotzen dira hondakinen fluxu bakoitzari dagozkion datuak 2019-2022 aldi horretarako.</w:t>
      </w:r>
    </w:p>
    <w:p w14:paraId="50055FA7" w14:textId="77777777" w:rsidR="00711C11" w:rsidRPr="00A34181" w:rsidRDefault="00711C11" w:rsidP="00711C11">
      <w:pPr>
        <w:spacing w:line="240" w:lineRule="auto"/>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83"/>
        <w:gridCol w:w="1042"/>
        <w:gridCol w:w="164"/>
        <w:gridCol w:w="1075"/>
        <w:gridCol w:w="164"/>
        <w:gridCol w:w="1075"/>
        <w:gridCol w:w="177"/>
        <w:gridCol w:w="1075"/>
        <w:gridCol w:w="164"/>
        <w:gridCol w:w="1075"/>
      </w:tblGrid>
      <w:tr w:rsidR="00A34181" w:rsidRPr="00A34181" w14:paraId="19D81251" w14:textId="77777777" w:rsidTr="00A34181">
        <w:trPr>
          <w:trHeight w:val="288"/>
        </w:trPr>
        <w:tc>
          <w:tcPr>
            <w:tcW w:w="1470" w:type="pct"/>
            <w:shd w:val="clear" w:color="auto" w:fill="auto"/>
            <w:noWrap/>
            <w:vAlign w:val="bottom"/>
          </w:tcPr>
          <w:p w14:paraId="79335AD0" w14:textId="77777777" w:rsidR="00A34181" w:rsidRPr="00A34181" w:rsidRDefault="00A34181" w:rsidP="002A6BDB">
            <w:pPr>
              <w:spacing w:line="240" w:lineRule="auto"/>
              <w:rPr>
                <w:rFonts w:cs="Arial"/>
                <w:sz w:val="14"/>
                <w:szCs w:val="22"/>
              </w:rPr>
            </w:pPr>
          </w:p>
        </w:tc>
        <w:tc>
          <w:tcPr>
            <w:tcW w:w="621" w:type="pct"/>
            <w:shd w:val="clear" w:color="auto" w:fill="auto"/>
            <w:vAlign w:val="center"/>
          </w:tcPr>
          <w:p w14:paraId="422FD2E7" w14:textId="77777777" w:rsidR="00A34181" w:rsidRPr="00A34181" w:rsidRDefault="00A34181" w:rsidP="002A6BDB">
            <w:pPr>
              <w:spacing w:line="240" w:lineRule="auto"/>
              <w:jc w:val="center"/>
              <w:rPr>
                <w:b/>
                <w:bCs/>
                <w:sz w:val="16"/>
                <w:szCs w:val="22"/>
                <w:rFonts w:cs="Arial"/>
              </w:rPr>
            </w:pPr>
            <w:r>
              <w:rPr>
                <w:b/>
                <w:sz w:val="16"/>
              </w:rPr>
              <w:t xml:space="preserve">2019</w:t>
            </w:r>
          </w:p>
        </w:tc>
        <w:tc>
          <w:tcPr>
            <w:tcW w:w="104" w:type="pct"/>
            <w:vMerge w:val="restart"/>
            <w:shd w:val="clear" w:color="auto" w:fill="auto"/>
            <w:noWrap/>
            <w:vAlign w:val="bottom"/>
          </w:tcPr>
          <w:p w14:paraId="3FBAACC7" w14:textId="77777777" w:rsidR="00A34181" w:rsidRPr="00A34181" w:rsidRDefault="00A34181" w:rsidP="002A6BDB">
            <w:pPr>
              <w:spacing w:line="240" w:lineRule="auto"/>
              <w:jc w:val="center"/>
              <w:rPr>
                <w:rFonts w:cs="Arial"/>
                <w:b/>
                <w:bCs/>
                <w:sz w:val="16"/>
                <w:szCs w:val="22"/>
              </w:rPr>
            </w:pPr>
          </w:p>
        </w:tc>
        <w:tc>
          <w:tcPr>
            <w:tcW w:w="621" w:type="pct"/>
            <w:shd w:val="clear" w:color="auto" w:fill="auto"/>
            <w:vAlign w:val="center"/>
          </w:tcPr>
          <w:p w14:paraId="7783255B" w14:textId="77777777" w:rsidR="00A34181" w:rsidRPr="00A34181" w:rsidRDefault="00A34181" w:rsidP="002A6BDB">
            <w:pPr>
              <w:spacing w:line="240" w:lineRule="auto"/>
              <w:jc w:val="center"/>
              <w:rPr>
                <w:b/>
                <w:bCs/>
                <w:sz w:val="16"/>
                <w:szCs w:val="22"/>
                <w:rFonts w:cs="Arial"/>
              </w:rPr>
            </w:pPr>
            <w:r>
              <w:rPr>
                <w:b/>
                <w:sz w:val="16"/>
              </w:rPr>
              <w:t xml:space="preserve">2020</w:t>
            </w:r>
          </w:p>
        </w:tc>
        <w:tc>
          <w:tcPr>
            <w:tcW w:w="104" w:type="pct"/>
            <w:vMerge w:val="restart"/>
            <w:shd w:val="clear" w:color="auto" w:fill="auto"/>
            <w:noWrap/>
            <w:vAlign w:val="bottom"/>
          </w:tcPr>
          <w:p w14:paraId="7D3D16CE" w14:textId="77777777" w:rsidR="00A34181" w:rsidRPr="00A34181" w:rsidRDefault="00A34181" w:rsidP="002A6BDB">
            <w:pPr>
              <w:spacing w:line="240" w:lineRule="auto"/>
              <w:jc w:val="center"/>
              <w:rPr>
                <w:rFonts w:cs="Arial"/>
                <w:b/>
                <w:bCs/>
                <w:sz w:val="16"/>
                <w:szCs w:val="22"/>
              </w:rPr>
            </w:pPr>
          </w:p>
        </w:tc>
        <w:tc>
          <w:tcPr>
            <w:tcW w:w="621" w:type="pct"/>
            <w:shd w:val="clear" w:color="auto" w:fill="auto"/>
            <w:vAlign w:val="center"/>
          </w:tcPr>
          <w:p w14:paraId="2BA0DBB1" w14:textId="77777777" w:rsidR="00A34181" w:rsidRPr="00A34181" w:rsidRDefault="00A34181" w:rsidP="002A6BDB">
            <w:pPr>
              <w:spacing w:line="240" w:lineRule="auto"/>
              <w:jc w:val="center"/>
              <w:rPr>
                <w:b/>
                <w:bCs/>
                <w:sz w:val="16"/>
                <w:szCs w:val="22"/>
                <w:rFonts w:cs="Arial"/>
              </w:rPr>
            </w:pPr>
            <w:r>
              <w:rPr>
                <w:b/>
                <w:sz w:val="16"/>
              </w:rPr>
              <w:t xml:space="preserve">2021</w:t>
            </w:r>
          </w:p>
        </w:tc>
        <w:tc>
          <w:tcPr>
            <w:tcW w:w="112" w:type="pct"/>
            <w:vMerge w:val="restart"/>
            <w:shd w:val="clear" w:color="auto" w:fill="auto"/>
            <w:noWrap/>
            <w:vAlign w:val="bottom"/>
          </w:tcPr>
          <w:p w14:paraId="5518DCB5" w14:textId="77777777" w:rsidR="00A34181" w:rsidRPr="00A34181" w:rsidRDefault="00A34181" w:rsidP="002A6BDB">
            <w:pPr>
              <w:spacing w:line="240" w:lineRule="auto"/>
              <w:jc w:val="center"/>
              <w:rPr>
                <w:rFonts w:cs="Arial"/>
                <w:b/>
                <w:bCs/>
                <w:sz w:val="16"/>
                <w:szCs w:val="22"/>
              </w:rPr>
            </w:pPr>
          </w:p>
        </w:tc>
        <w:tc>
          <w:tcPr>
            <w:tcW w:w="621" w:type="pct"/>
            <w:shd w:val="clear" w:color="auto" w:fill="auto"/>
            <w:vAlign w:val="center"/>
          </w:tcPr>
          <w:p w14:paraId="35D7E991" w14:textId="77777777" w:rsidR="00A34181" w:rsidRPr="00A34181" w:rsidRDefault="00A34181" w:rsidP="002A6BDB">
            <w:pPr>
              <w:spacing w:line="240" w:lineRule="auto"/>
              <w:jc w:val="center"/>
              <w:rPr>
                <w:b/>
                <w:bCs/>
                <w:sz w:val="16"/>
                <w:szCs w:val="22"/>
                <w:rFonts w:cs="Arial"/>
              </w:rPr>
            </w:pPr>
            <w:r>
              <w:rPr>
                <w:b/>
                <w:sz w:val="16"/>
              </w:rPr>
              <w:t xml:space="preserve">2022</w:t>
            </w:r>
          </w:p>
        </w:tc>
        <w:tc>
          <w:tcPr>
            <w:tcW w:w="104" w:type="pct"/>
            <w:vMerge w:val="restart"/>
            <w:shd w:val="clear" w:color="auto" w:fill="auto"/>
            <w:noWrap/>
            <w:vAlign w:val="bottom"/>
          </w:tcPr>
          <w:p w14:paraId="3728230A" w14:textId="77777777" w:rsidR="00A34181" w:rsidRPr="00A34181" w:rsidRDefault="00A34181" w:rsidP="002A6BDB">
            <w:pPr>
              <w:spacing w:line="240" w:lineRule="auto"/>
              <w:jc w:val="center"/>
              <w:rPr>
                <w:rFonts w:cs="Arial"/>
                <w:b/>
                <w:bCs/>
                <w:sz w:val="16"/>
                <w:szCs w:val="22"/>
              </w:rPr>
            </w:pPr>
          </w:p>
        </w:tc>
        <w:tc>
          <w:tcPr>
            <w:tcW w:w="621" w:type="pct"/>
            <w:shd w:val="clear" w:color="auto" w:fill="auto"/>
            <w:vAlign w:val="bottom"/>
          </w:tcPr>
          <w:p w14:paraId="19D4F56D" w14:textId="77777777" w:rsidR="00A34181" w:rsidRPr="00A34181" w:rsidRDefault="00A34181" w:rsidP="002A6BDB">
            <w:pPr>
              <w:spacing w:line="240" w:lineRule="auto"/>
              <w:jc w:val="center"/>
              <w:rPr>
                <w:b/>
                <w:bCs/>
                <w:sz w:val="16"/>
                <w:szCs w:val="22"/>
                <w:rFonts w:cs="Arial"/>
              </w:rPr>
            </w:pPr>
            <w:r>
              <w:rPr>
                <w:b/>
                <w:sz w:val="16"/>
              </w:rPr>
              <w:t xml:space="preserve">2023</w:t>
            </w:r>
          </w:p>
        </w:tc>
      </w:tr>
      <w:tr w:rsidR="00A34181" w:rsidRPr="00A34181" w14:paraId="331BFC4B" w14:textId="77777777" w:rsidTr="00A34181">
        <w:trPr>
          <w:trHeight w:val="288"/>
        </w:trPr>
        <w:tc>
          <w:tcPr>
            <w:tcW w:w="1470" w:type="pct"/>
            <w:shd w:val="clear" w:color="auto" w:fill="auto"/>
            <w:noWrap/>
            <w:vAlign w:val="bottom"/>
          </w:tcPr>
          <w:p w14:paraId="11437E5A" w14:textId="66287CBD" w:rsidR="00A34181" w:rsidRPr="00A34181" w:rsidRDefault="00A34181" w:rsidP="002A6BDB">
            <w:pPr>
              <w:spacing w:line="240" w:lineRule="auto"/>
              <w:rPr>
                <w:b/>
                <w:bCs/>
                <w:sz w:val="14"/>
                <w:szCs w:val="22"/>
                <w:rFonts w:cs="Arial"/>
              </w:rPr>
            </w:pPr>
            <w:r>
              <w:rPr>
                <w:b/>
                <w:sz w:val="16"/>
              </w:rPr>
              <w:t xml:space="preserve">ETXEKO HONDAKINEN FLUXUA:</w:t>
            </w:r>
          </w:p>
        </w:tc>
        <w:tc>
          <w:tcPr>
            <w:tcW w:w="621" w:type="pct"/>
            <w:shd w:val="clear" w:color="auto" w:fill="auto"/>
            <w:noWrap/>
            <w:vAlign w:val="bottom"/>
          </w:tcPr>
          <w:p w14:paraId="6552FCC3" w14:textId="77777777" w:rsidR="00A34181" w:rsidRPr="00A34181" w:rsidRDefault="00A34181" w:rsidP="002A6BDB">
            <w:pPr>
              <w:spacing w:line="240" w:lineRule="auto"/>
              <w:rPr>
                <w:rFonts w:cs="Arial"/>
                <w:b/>
                <w:bCs/>
                <w:sz w:val="14"/>
                <w:szCs w:val="22"/>
                <w:u w:val="single"/>
              </w:rPr>
            </w:pPr>
          </w:p>
        </w:tc>
        <w:tc>
          <w:tcPr>
            <w:tcW w:w="104" w:type="pct"/>
            <w:vMerge/>
            <w:shd w:val="clear" w:color="auto" w:fill="auto"/>
            <w:noWrap/>
            <w:vAlign w:val="bottom"/>
          </w:tcPr>
          <w:p w14:paraId="3BB7BC47" w14:textId="77777777" w:rsidR="00A34181" w:rsidRPr="00A34181" w:rsidRDefault="00A34181" w:rsidP="002A6BDB">
            <w:pPr>
              <w:spacing w:line="240" w:lineRule="auto"/>
              <w:rPr>
                <w:rFonts w:cs="Arial"/>
                <w:b/>
                <w:sz w:val="14"/>
                <w:szCs w:val="22"/>
              </w:rPr>
            </w:pPr>
          </w:p>
        </w:tc>
        <w:tc>
          <w:tcPr>
            <w:tcW w:w="621" w:type="pct"/>
            <w:shd w:val="clear" w:color="auto" w:fill="auto"/>
            <w:noWrap/>
            <w:vAlign w:val="bottom"/>
          </w:tcPr>
          <w:p w14:paraId="12BEB7CD" w14:textId="77777777" w:rsidR="00A34181" w:rsidRPr="00A34181" w:rsidRDefault="00A34181" w:rsidP="002A6BDB">
            <w:pPr>
              <w:spacing w:line="240" w:lineRule="auto"/>
              <w:rPr>
                <w:rFonts w:cs="Arial"/>
                <w:b/>
                <w:sz w:val="14"/>
                <w:szCs w:val="22"/>
              </w:rPr>
            </w:pPr>
          </w:p>
        </w:tc>
        <w:tc>
          <w:tcPr>
            <w:tcW w:w="104" w:type="pct"/>
            <w:vMerge/>
            <w:shd w:val="clear" w:color="auto" w:fill="auto"/>
            <w:noWrap/>
            <w:vAlign w:val="bottom"/>
          </w:tcPr>
          <w:p w14:paraId="399DFC4E" w14:textId="77777777" w:rsidR="00A34181" w:rsidRPr="00A34181" w:rsidRDefault="00A34181" w:rsidP="002A6BDB">
            <w:pPr>
              <w:spacing w:line="240" w:lineRule="auto"/>
              <w:rPr>
                <w:rFonts w:cs="Arial"/>
                <w:b/>
                <w:sz w:val="14"/>
                <w:szCs w:val="22"/>
              </w:rPr>
            </w:pPr>
          </w:p>
        </w:tc>
        <w:tc>
          <w:tcPr>
            <w:tcW w:w="621" w:type="pct"/>
            <w:shd w:val="clear" w:color="auto" w:fill="auto"/>
            <w:noWrap/>
            <w:vAlign w:val="bottom"/>
          </w:tcPr>
          <w:p w14:paraId="7CE50517" w14:textId="77777777" w:rsidR="00A34181" w:rsidRPr="00A34181" w:rsidRDefault="00A34181" w:rsidP="002A6BDB">
            <w:pPr>
              <w:spacing w:line="240" w:lineRule="auto"/>
              <w:rPr>
                <w:rFonts w:cs="Arial"/>
                <w:b/>
                <w:sz w:val="14"/>
                <w:szCs w:val="22"/>
              </w:rPr>
            </w:pPr>
          </w:p>
        </w:tc>
        <w:tc>
          <w:tcPr>
            <w:tcW w:w="112" w:type="pct"/>
            <w:vMerge/>
            <w:shd w:val="clear" w:color="auto" w:fill="auto"/>
            <w:noWrap/>
            <w:vAlign w:val="bottom"/>
          </w:tcPr>
          <w:p w14:paraId="79012B81" w14:textId="77777777" w:rsidR="00A34181" w:rsidRPr="00A34181" w:rsidRDefault="00A34181" w:rsidP="002A6BDB">
            <w:pPr>
              <w:spacing w:line="240" w:lineRule="auto"/>
              <w:rPr>
                <w:rFonts w:cs="Arial"/>
                <w:b/>
                <w:sz w:val="14"/>
                <w:szCs w:val="22"/>
              </w:rPr>
            </w:pPr>
          </w:p>
        </w:tc>
        <w:tc>
          <w:tcPr>
            <w:tcW w:w="621" w:type="pct"/>
            <w:shd w:val="clear" w:color="auto" w:fill="auto"/>
            <w:noWrap/>
            <w:vAlign w:val="bottom"/>
          </w:tcPr>
          <w:p w14:paraId="3CEEE049" w14:textId="77777777" w:rsidR="00A34181" w:rsidRPr="00A34181" w:rsidRDefault="00A34181" w:rsidP="002A6BDB">
            <w:pPr>
              <w:spacing w:line="240" w:lineRule="auto"/>
              <w:rPr>
                <w:rFonts w:cs="Arial"/>
                <w:b/>
                <w:sz w:val="14"/>
                <w:szCs w:val="22"/>
              </w:rPr>
            </w:pPr>
          </w:p>
        </w:tc>
        <w:tc>
          <w:tcPr>
            <w:tcW w:w="104" w:type="pct"/>
            <w:vMerge/>
            <w:shd w:val="clear" w:color="auto" w:fill="auto"/>
            <w:noWrap/>
            <w:vAlign w:val="bottom"/>
          </w:tcPr>
          <w:p w14:paraId="331F2411" w14:textId="77777777" w:rsidR="00A34181" w:rsidRPr="00A34181" w:rsidRDefault="00A34181" w:rsidP="002A6BDB">
            <w:pPr>
              <w:spacing w:line="240" w:lineRule="auto"/>
              <w:rPr>
                <w:rFonts w:cs="Arial"/>
                <w:b/>
                <w:sz w:val="14"/>
                <w:szCs w:val="22"/>
              </w:rPr>
            </w:pPr>
          </w:p>
        </w:tc>
        <w:tc>
          <w:tcPr>
            <w:tcW w:w="621" w:type="pct"/>
            <w:shd w:val="clear" w:color="auto" w:fill="auto"/>
            <w:noWrap/>
            <w:vAlign w:val="bottom"/>
          </w:tcPr>
          <w:p w14:paraId="4CB767F5" w14:textId="77777777" w:rsidR="00A34181" w:rsidRPr="00A34181" w:rsidRDefault="00A34181" w:rsidP="002A6BDB">
            <w:pPr>
              <w:spacing w:line="240" w:lineRule="auto"/>
              <w:rPr>
                <w:rFonts w:cs="Arial"/>
                <w:b/>
                <w:sz w:val="14"/>
                <w:szCs w:val="22"/>
              </w:rPr>
            </w:pPr>
          </w:p>
        </w:tc>
      </w:tr>
      <w:tr w:rsidR="00A34181" w:rsidRPr="00A34181" w14:paraId="59F703E7" w14:textId="77777777" w:rsidTr="00A34181">
        <w:trPr>
          <w:trHeight w:val="288"/>
        </w:trPr>
        <w:tc>
          <w:tcPr>
            <w:tcW w:w="1470" w:type="pct"/>
            <w:shd w:val="clear" w:color="auto" w:fill="auto"/>
            <w:noWrap/>
            <w:vAlign w:val="bottom"/>
          </w:tcPr>
          <w:p w14:paraId="53AA9E5D" w14:textId="77777777" w:rsidR="00A34181" w:rsidRPr="00A34181" w:rsidRDefault="00A34181" w:rsidP="00A34181">
            <w:pPr>
              <w:spacing w:line="240" w:lineRule="auto"/>
              <w:jc w:val="right"/>
              <w:rPr>
                <w:b/>
                <w:sz w:val="14"/>
                <w:szCs w:val="22"/>
                <w:rFonts w:cs="Arial"/>
              </w:rPr>
            </w:pPr>
            <w:r>
              <w:rPr>
                <w:b/>
                <w:sz w:val="14"/>
              </w:rPr>
              <w:t xml:space="preserve">Sartzeke dauden kredituak</w:t>
            </w:r>
          </w:p>
        </w:tc>
        <w:tc>
          <w:tcPr>
            <w:tcW w:w="621" w:type="pct"/>
            <w:shd w:val="clear" w:color="auto" w:fill="auto"/>
            <w:noWrap/>
            <w:vAlign w:val="bottom"/>
          </w:tcPr>
          <w:p w14:paraId="538A3CD0" w14:textId="77777777" w:rsidR="00A34181" w:rsidRPr="00A34181" w:rsidRDefault="00A34181" w:rsidP="002A6BDB">
            <w:pPr>
              <w:spacing w:line="240" w:lineRule="auto"/>
              <w:jc w:val="right"/>
              <w:rPr>
                <w:sz w:val="14"/>
                <w:szCs w:val="22"/>
                <w:rFonts w:cs="Arial"/>
              </w:rPr>
            </w:pPr>
            <w:r>
              <w:rPr>
                <w:sz w:val="14"/>
              </w:rPr>
              <w:t xml:space="preserve">168.666,67</w:t>
            </w:r>
          </w:p>
        </w:tc>
        <w:tc>
          <w:tcPr>
            <w:tcW w:w="104" w:type="pct"/>
            <w:vMerge/>
            <w:shd w:val="clear" w:color="auto" w:fill="auto"/>
            <w:noWrap/>
            <w:vAlign w:val="bottom"/>
          </w:tcPr>
          <w:p w14:paraId="794BC808"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6B45DE41" w14:textId="77777777" w:rsidR="00A34181" w:rsidRPr="00A34181" w:rsidRDefault="00A34181" w:rsidP="002A6BDB">
            <w:pPr>
              <w:spacing w:line="240" w:lineRule="auto"/>
              <w:jc w:val="right"/>
              <w:rPr>
                <w:sz w:val="14"/>
                <w:szCs w:val="22"/>
                <w:rFonts w:cs="Arial"/>
              </w:rPr>
            </w:pPr>
            <w:r>
              <w:rPr>
                <w:sz w:val="14"/>
              </w:rPr>
              <w:t xml:space="preserve">808.730,82</w:t>
            </w:r>
          </w:p>
        </w:tc>
        <w:tc>
          <w:tcPr>
            <w:tcW w:w="104" w:type="pct"/>
            <w:vMerge/>
            <w:shd w:val="clear" w:color="auto" w:fill="auto"/>
            <w:noWrap/>
            <w:vAlign w:val="bottom"/>
          </w:tcPr>
          <w:p w14:paraId="726C4D7C"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3FE58136" w14:textId="77777777" w:rsidR="00A34181" w:rsidRPr="00A34181" w:rsidRDefault="00A34181" w:rsidP="002A6BDB">
            <w:pPr>
              <w:spacing w:line="240" w:lineRule="auto"/>
              <w:jc w:val="right"/>
              <w:rPr>
                <w:sz w:val="14"/>
                <w:szCs w:val="22"/>
                <w:rFonts w:cs="Arial"/>
              </w:rPr>
            </w:pPr>
            <w:r>
              <w:rPr>
                <w:sz w:val="14"/>
              </w:rPr>
              <w:t xml:space="preserve">842.683,20</w:t>
            </w:r>
          </w:p>
        </w:tc>
        <w:tc>
          <w:tcPr>
            <w:tcW w:w="112" w:type="pct"/>
            <w:vMerge/>
            <w:shd w:val="clear" w:color="auto" w:fill="auto"/>
            <w:noWrap/>
            <w:vAlign w:val="bottom"/>
          </w:tcPr>
          <w:p w14:paraId="629AD57F"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68FD6404" w14:textId="77777777" w:rsidR="00A34181" w:rsidRPr="00A34181" w:rsidRDefault="00A34181" w:rsidP="002A6BDB">
            <w:pPr>
              <w:spacing w:line="240" w:lineRule="auto"/>
              <w:jc w:val="right"/>
              <w:rPr>
                <w:sz w:val="14"/>
                <w:szCs w:val="22"/>
                <w:rFonts w:cs="Arial"/>
              </w:rPr>
            </w:pPr>
            <w:r>
              <w:rPr>
                <w:sz w:val="14"/>
              </w:rPr>
              <w:t xml:space="preserve">690.980,67</w:t>
            </w:r>
          </w:p>
        </w:tc>
        <w:tc>
          <w:tcPr>
            <w:tcW w:w="104" w:type="pct"/>
            <w:vMerge/>
            <w:shd w:val="clear" w:color="auto" w:fill="auto"/>
            <w:noWrap/>
            <w:vAlign w:val="bottom"/>
          </w:tcPr>
          <w:p w14:paraId="5BF2E975"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10F31EF3" w14:textId="77777777" w:rsidR="00A34181" w:rsidRPr="00A34181" w:rsidRDefault="00A34181" w:rsidP="002A6BDB">
            <w:pPr>
              <w:spacing w:line="240" w:lineRule="auto"/>
              <w:jc w:val="right"/>
              <w:rPr>
                <w:sz w:val="14"/>
                <w:szCs w:val="22"/>
                <w:rFonts w:cs="Arial"/>
              </w:rPr>
            </w:pPr>
            <w:r>
              <w:rPr>
                <w:sz w:val="14"/>
              </w:rPr>
              <w:t xml:space="preserve">5.483.415,01</w:t>
            </w:r>
          </w:p>
        </w:tc>
      </w:tr>
      <w:tr w:rsidR="00A34181" w:rsidRPr="00A34181" w14:paraId="01EA0397" w14:textId="77777777" w:rsidTr="00A34181">
        <w:trPr>
          <w:trHeight w:val="288"/>
        </w:trPr>
        <w:tc>
          <w:tcPr>
            <w:tcW w:w="1470" w:type="pct"/>
            <w:shd w:val="clear" w:color="auto" w:fill="auto"/>
            <w:noWrap/>
            <w:vAlign w:val="bottom"/>
          </w:tcPr>
          <w:p w14:paraId="745D9486" w14:textId="77777777" w:rsidR="00A34181" w:rsidRPr="00A34181" w:rsidRDefault="00A34181" w:rsidP="00A34181">
            <w:pPr>
              <w:spacing w:line="240" w:lineRule="auto"/>
              <w:jc w:val="right"/>
              <w:rPr>
                <w:b/>
                <w:sz w:val="14"/>
                <w:szCs w:val="22"/>
                <w:rFonts w:cs="Arial"/>
              </w:rPr>
            </w:pPr>
            <w:r>
              <w:rPr>
                <w:b/>
                <w:sz w:val="14"/>
              </w:rPr>
              <w:t xml:space="preserve">Sartu diren kredituak</w:t>
            </w:r>
          </w:p>
        </w:tc>
        <w:tc>
          <w:tcPr>
            <w:tcW w:w="621" w:type="pct"/>
            <w:shd w:val="clear" w:color="auto" w:fill="auto"/>
            <w:noWrap/>
            <w:vAlign w:val="bottom"/>
          </w:tcPr>
          <w:p w14:paraId="4517D031" w14:textId="77777777" w:rsidR="00A34181" w:rsidRPr="00A34181" w:rsidRDefault="00A34181" w:rsidP="002A6BDB">
            <w:pPr>
              <w:spacing w:line="240" w:lineRule="auto"/>
              <w:jc w:val="right"/>
              <w:rPr>
                <w:sz w:val="14"/>
                <w:szCs w:val="22"/>
                <w:rFonts w:cs="Arial"/>
              </w:rPr>
            </w:pPr>
            <w:r>
              <w:rPr>
                <w:sz w:val="14"/>
              </w:rPr>
              <w:t xml:space="preserve">-168.666,67</w:t>
            </w:r>
          </w:p>
        </w:tc>
        <w:tc>
          <w:tcPr>
            <w:tcW w:w="104" w:type="pct"/>
            <w:vMerge/>
            <w:shd w:val="clear" w:color="auto" w:fill="auto"/>
            <w:noWrap/>
            <w:vAlign w:val="bottom"/>
          </w:tcPr>
          <w:p w14:paraId="3D9AB6DA"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736594DF" w14:textId="77777777" w:rsidR="00A34181" w:rsidRPr="00A34181" w:rsidRDefault="00A34181" w:rsidP="002A6BDB">
            <w:pPr>
              <w:spacing w:line="240" w:lineRule="auto"/>
              <w:jc w:val="right"/>
              <w:rPr>
                <w:sz w:val="14"/>
                <w:szCs w:val="22"/>
                <w:rFonts w:cs="Arial"/>
              </w:rPr>
            </w:pPr>
            <w:r>
              <w:rPr>
                <w:sz w:val="14"/>
              </w:rPr>
              <w:t xml:space="preserve">-777.237,83</w:t>
            </w:r>
          </w:p>
        </w:tc>
        <w:tc>
          <w:tcPr>
            <w:tcW w:w="104" w:type="pct"/>
            <w:vMerge/>
            <w:shd w:val="clear" w:color="auto" w:fill="auto"/>
            <w:noWrap/>
            <w:vAlign w:val="bottom"/>
          </w:tcPr>
          <w:p w14:paraId="1B0D1A63"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60BA06AE" w14:textId="77777777" w:rsidR="00A34181" w:rsidRPr="00A34181" w:rsidRDefault="00A34181" w:rsidP="002A6BDB">
            <w:pPr>
              <w:spacing w:line="240" w:lineRule="auto"/>
              <w:jc w:val="right"/>
              <w:rPr>
                <w:sz w:val="14"/>
                <w:szCs w:val="22"/>
                <w:rFonts w:cs="Arial"/>
              </w:rPr>
            </w:pPr>
            <w:r>
              <w:rPr>
                <w:sz w:val="14"/>
              </w:rPr>
              <w:t xml:space="preserve">-662.499,98</w:t>
            </w:r>
          </w:p>
        </w:tc>
        <w:tc>
          <w:tcPr>
            <w:tcW w:w="112" w:type="pct"/>
            <w:vMerge/>
            <w:shd w:val="clear" w:color="auto" w:fill="auto"/>
            <w:noWrap/>
            <w:vAlign w:val="bottom"/>
          </w:tcPr>
          <w:p w14:paraId="5B9F1C53"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020E7133" w14:textId="77777777" w:rsidR="00A34181" w:rsidRPr="00A34181" w:rsidRDefault="00A34181" w:rsidP="002A6BDB">
            <w:pPr>
              <w:spacing w:line="240" w:lineRule="auto"/>
              <w:jc w:val="right"/>
              <w:rPr>
                <w:sz w:val="14"/>
                <w:szCs w:val="22"/>
                <w:rFonts w:cs="Arial"/>
              </w:rPr>
            </w:pPr>
            <w:r>
              <w:rPr>
                <w:sz w:val="14"/>
              </w:rPr>
              <w:t xml:space="preserve">0,00</w:t>
            </w:r>
          </w:p>
        </w:tc>
        <w:tc>
          <w:tcPr>
            <w:tcW w:w="104" w:type="pct"/>
            <w:vMerge/>
            <w:shd w:val="clear" w:color="auto" w:fill="auto"/>
            <w:noWrap/>
            <w:vAlign w:val="bottom"/>
          </w:tcPr>
          <w:p w14:paraId="7F196B38"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0D333E4F" w14:textId="77777777" w:rsidR="00A34181" w:rsidRPr="00A34181" w:rsidRDefault="00A34181" w:rsidP="002A6BDB">
            <w:pPr>
              <w:spacing w:line="240" w:lineRule="auto"/>
              <w:jc w:val="right"/>
              <w:rPr>
                <w:sz w:val="14"/>
                <w:szCs w:val="22"/>
                <w:rFonts w:cs="Arial"/>
              </w:rPr>
            </w:pPr>
            <w:r>
              <w:rPr>
                <w:sz w:val="14"/>
              </w:rPr>
              <w:t xml:space="preserve">0,00</w:t>
            </w:r>
          </w:p>
        </w:tc>
      </w:tr>
      <w:tr w:rsidR="00A34181" w:rsidRPr="00A34181" w14:paraId="50ADB330" w14:textId="77777777" w:rsidTr="00A34181">
        <w:trPr>
          <w:trHeight w:val="288"/>
        </w:trPr>
        <w:tc>
          <w:tcPr>
            <w:tcW w:w="1470" w:type="pct"/>
            <w:shd w:val="clear" w:color="auto" w:fill="auto"/>
            <w:noWrap/>
            <w:vAlign w:val="bottom"/>
          </w:tcPr>
          <w:p w14:paraId="099875C0" w14:textId="77777777" w:rsidR="00A34181" w:rsidRPr="00A34181" w:rsidRDefault="00A34181" w:rsidP="00A34181">
            <w:pPr>
              <w:spacing w:line="240" w:lineRule="auto"/>
              <w:jc w:val="right"/>
              <w:rPr>
                <w:b/>
                <w:sz w:val="14"/>
                <w:szCs w:val="22"/>
                <w:rFonts w:cs="Arial"/>
              </w:rPr>
            </w:pPr>
            <w:r>
              <w:rPr>
                <w:b/>
                <w:sz w:val="14"/>
              </w:rPr>
              <w:t xml:space="preserve">Justifikatzeke dauden kredituak (epea zehazteke)</w:t>
            </w:r>
          </w:p>
        </w:tc>
        <w:tc>
          <w:tcPr>
            <w:tcW w:w="621" w:type="pct"/>
            <w:shd w:val="clear" w:color="auto" w:fill="auto"/>
            <w:noWrap/>
            <w:vAlign w:val="bottom"/>
          </w:tcPr>
          <w:p w14:paraId="38E9FB94" w14:textId="77777777" w:rsidR="00A34181" w:rsidRPr="00A34181" w:rsidRDefault="00A34181" w:rsidP="002A6BDB">
            <w:pPr>
              <w:spacing w:line="240" w:lineRule="auto"/>
              <w:jc w:val="right"/>
              <w:rPr>
                <w:sz w:val="14"/>
                <w:szCs w:val="22"/>
                <w:rFonts w:cs="Arial"/>
              </w:rPr>
            </w:pPr>
            <w:r>
              <w:rPr>
                <w:sz w:val="14"/>
              </w:rPr>
              <w:t xml:space="preserve">0,00</w:t>
            </w:r>
          </w:p>
        </w:tc>
        <w:tc>
          <w:tcPr>
            <w:tcW w:w="104" w:type="pct"/>
            <w:vMerge/>
            <w:shd w:val="clear" w:color="auto" w:fill="auto"/>
            <w:noWrap/>
            <w:vAlign w:val="bottom"/>
          </w:tcPr>
          <w:p w14:paraId="03652969"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5AF264BB" w14:textId="77777777" w:rsidR="00A34181" w:rsidRPr="00A34181" w:rsidRDefault="00A34181" w:rsidP="002A6BDB">
            <w:pPr>
              <w:spacing w:line="240" w:lineRule="auto"/>
              <w:jc w:val="right"/>
              <w:rPr>
                <w:sz w:val="14"/>
                <w:szCs w:val="22"/>
                <w:rFonts w:cs="Arial"/>
              </w:rPr>
            </w:pPr>
            <w:r>
              <w:rPr>
                <w:sz w:val="14"/>
              </w:rPr>
              <w:t xml:space="preserve">0,00</w:t>
            </w:r>
          </w:p>
        </w:tc>
        <w:tc>
          <w:tcPr>
            <w:tcW w:w="104" w:type="pct"/>
            <w:vMerge/>
            <w:shd w:val="clear" w:color="auto" w:fill="auto"/>
            <w:noWrap/>
            <w:vAlign w:val="bottom"/>
          </w:tcPr>
          <w:p w14:paraId="200F2DA1"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01564F36" w14:textId="77777777" w:rsidR="00A34181" w:rsidRPr="00A34181" w:rsidRDefault="00A34181" w:rsidP="002A6BDB">
            <w:pPr>
              <w:spacing w:line="240" w:lineRule="auto"/>
              <w:jc w:val="right"/>
              <w:rPr>
                <w:sz w:val="14"/>
                <w:szCs w:val="22"/>
                <w:rFonts w:cs="Arial"/>
              </w:rPr>
            </w:pPr>
            <w:r>
              <w:rPr>
                <w:sz w:val="14"/>
              </w:rPr>
              <w:t xml:space="preserve">0,00</w:t>
            </w:r>
          </w:p>
        </w:tc>
        <w:tc>
          <w:tcPr>
            <w:tcW w:w="112" w:type="pct"/>
            <w:vMerge/>
            <w:shd w:val="clear" w:color="auto" w:fill="auto"/>
            <w:noWrap/>
            <w:vAlign w:val="bottom"/>
          </w:tcPr>
          <w:p w14:paraId="6729764C"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3CAC3DD8" w14:textId="77777777" w:rsidR="00A34181" w:rsidRPr="00A34181" w:rsidRDefault="00A34181" w:rsidP="002A6BDB">
            <w:pPr>
              <w:spacing w:line="240" w:lineRule="auto"/>
              <w:jc w:val="right"/>
              <w:rPr>
                <w:sz w:val="14"/>
                <w:szCs w:val="22"/>
                <w:rFonts w:cs="Arial"/>
              </w:rPr>
            </w:pPr>
            <w:r>
              <w:rPr>
                <w:sz w:val="14"/>
              </w:rPr>
              <w:t xml:space="preserve">0,00</w:t>
            </w:r>
          </w:p>
        </w:tc>
        <w:tc>
          <w:tcPr>
            <w:tcW w:w="104" w:type="pct"/>
            <w:vMerge/>
            <w:shd w:val="clear" w:color="auto" w:fill="auto"/>
            <w:noWrap/>
            <w:vAlign w:val="bottom"/>
          </w:tcPr>
          <w:p w14:paraId="36CD4C8E"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7CFEA931" w14:textId="77777777" w:rsidR="00A34181" w:rsidRPr="00A34181" w:rsidRDefault="00A34181" w:rsidP="002A6BDB">
            <w:pPr>
              <w:spacing w:line="240" w:lineRule="auto"/>
              <w:jc w:val="right"/>
              <w:rPr>
                <w:sz w:val="14"/>
                <w:szCs w:val="22"/>
                <w:rFonts w:cs="Arial"/>
              </w:rPr>
            </w:pPr>
            <w:r>
              <w:rPr>
                <w:sz w:val="14"/>
              </w:rPr>
              <w:t xml:space="preserve">5.472.965,54</w:t>
            </w:r>
          </w:p>
        </w:tc>
      </w:tr>
      <w:tr w:rsidR="00A34181" w:rsidRPr="00A34181" w14:paraId="7D1ECB14" w14:textId="77777777" w:rsidTr="00A34181">
        <w:trPr>
          <w:trHeight w:val="288"/>
        </w:trPr>
        <w:tc>
          <w:tcPr>
            <w:tcW w:w="1470" w:type="pct"/>
            <w:shd w:val="clear" w:color="auto" w:fill="auto"/>
            <w:noWrap/>
            <w:vAlign w:val="bottom"/>
          </w:tcPr>
          <w:p w14:paraId="32C011FA" w14:textId="77777777" w:rsidR="00A34181" w:rsidRPr="00A34181" w:rsidRDefault="00A34181" w:rsidP="002A6BDB">
            <w:pPr>
              <w:spacing w:line="240" w:lineRule="auto"/>
              <w:rPr>
                <w:b/>
                <w:bCs/>
                <w:sz w:val="14"/>
                <w:szCs w:val="22"/>
                <w:rFonts w:cs="Arial"/>
              </w:rPr>
            </w:pPr>
            <w:r>
              <w:rPr>
                <w:b/>
                <w:sz w:val="16"/>
              </w:rPr>
              <w:t xml:space="preserve">SALDOA</w:t>
            </w:r>
          </w:p>
        </w:tc>
        <w:tc>
          <w:tcPr>
            <w:tcW w:w="621" w:type="pct"/>
            <w:shd w:val="clear" w:color="auto" w:fill="auto"/>
            <w:noWrap/>
            <w:vAlign w:val="bottom"/>
          </w:tcPr>
          <w:p w14:paraId="0D7E7FFC" w14:textId="77777777" w:rsidR="00A34181" w:rsidRPr="00A34181" w:rsidRDefault="00A34181" w:rsidP="002A6BDB">
            <w:pPr>
              <w:spacing w:line="240" w:lineRule="auto"/>
              <w:jc w:val="right"/>
              <w:rPr>
                <w:b/>
                <w:bCs/>
                <w:sz w:val="16"/>
                <w:szCs w:val="22"/>
                <w:rFonts w:cs="Arial"/>
              </w:rPr>
            </w:pPr>
            <w:r>
              <w:rPr>
                <w:b/>
                <w:sz w:val="16"/>
              </w:rPr>
              <w:t xml:space="preserve">0,00</w:t>
            </w:r>
          </w:p>
        </w:tc>
        <w:tc>
          <w:tcPr>
            <w:tcW w:w="104" w:type="pct"/>
            <w:vMerge/>
            <w:shd w:val="clear" w:color="auto" w:fill="auto"/>
            <w:noWrap/>
            <w:vAlign w:val="bottom"/>
          </w:tcPr>
          <w:p w14:paraId="4900AA0F" w14:textId="77777777" w:rsidR="00A34181" w:rsidRPr="00A34181" w:rsidRDefault="00A34181" w:rsidP="002A6BDB">
            <w:pPr>
              <w:spacing w:line="240" w:lineRule="auto"/>
              <w:jc w:val="right"/>
              <w:rPr>
                <w:rFonts w:cs="Arial"/>
                <w:b/>
                <w:bCs/>
                <w:sz w:val="16"/>
                <w:szCs w:val="22"/>
              </w:rPr>
            </w:pPr>
          </w:p>
        </w:tc>
        <w:tc>
          <w:tcPr>
            <w:tcW w:w="621" w:type="pct"/>
            <w:shd w:val="clear" w:color="auto" w:fill="auto"/>
            <w:noWrap/>
            <w:vAlign w:val="bottom"/>
          </w:tcPr>
          <w:p w14:paraId="3988CE2D" w14:textId="77777777" w:rsidR="00A34181" w:rsidRPr="00A34181" w:rsidRDefault="00A34181" w:rsidP="002A6BDB">
            <w:pPr>
              <w:spacing w:line="240" w:lineRule="auto"/>
              <w:jc w:val="right"/>
              <w:rPr>
                <w:b/>
                <w:bCs/>
                <w:sz w:val="16"/>
                <w:szCs w:val="22"/>
                <w:rFonts w:cs="Arial"/>
              </w:rPr>
            </w:pPr>
            <w:r>
              <w:rPr>
                <w:b/>
                <w:sz w:val="16"/>
              </w:rPr>
              <w:t xml:space="preserve">31.492,99</w:t>
            </w:r>
          </w:p>
        </w:tc>
        <w:tc>
          <w:tcPr>
            <w:tcW w:w="104" w:type="pct"/>
            <w:vMerge/>
            <w:shd w:val="clear" w:color="auto" w:fill="auto"/>
            <w:noWrap/>
            <w:vAlign w:val="bottom"/>
          </w:tcPr>
          <w:p w14:paraId="505A6E30" w14:textId="77777777" w:rsidR="00A34181" w:rsidRPr="00A34181" w:rsidRDefault="00A34181" w:rsidP="002A6BDB">
            <w:pPr>
              <w:spacing w:line="240" w:lineRule="auto"/>
              <w:jc w:val="right"/>
              <w:rPr>
                <w:rFonts w:cs="Arial"/>
                <w:b/>
                <w:bCs/>
                <w:sz w:val="16"/>
                <w:szCs w:val="22"/>
              </w:rPr>
            </w:pPr>
          </w:p>
        </w:tc>
        <w:tc>
          <w:tcPr>
            <w:tcW w:w="621" w:type="pct"/>
            <w:shd w:val="clear" w:color="auto" w:fill="auto"/>
            <w:noWrap/>
            <w:vAlign w:val="bottom"/>
          </w:tcPr>
          <w:p w14:paraId="3841F91C" w14:textId="77777777" w:rsidR="00A34181" w:rsidRPr="00A34181" w:rsidRDefault="00A34181" w:rsidP="002A6BDB">
            <w:pPr>
              <w:spacing w:line="240" w:lineRule="auto"/>
              <w:jc w:val="right"/>
              <w:rPr>
                <w:b/>
                <w:bCs/>
                <w:sz w:val="16"/>
                <w:szCs w:val="22"/>
                <w:rFonts w:cs="Arial"/>
              </w:rPr>
            </w:pPr>
            <w:r>
              <w:rPr>
                <w:b/>
                <w:sz w:val="16"/>
              </w:rPr>
              <w:t xml:space="preserve">211.676,21</w:t>
            </w:r>
          </w:p>
        </w:tc>
        <w:tc>
          <w:tcPr>
            <w:tcW w:w="112" w:type="pct"/>
            <w:vMerge/>
            <w:shd w:val="clear" w:color="auto" w:fill="auto"/>
            <w:noWrap/>
            <w:vAlign w:val="bottom"/>
          </w:tcPr>
          <w:p w14:paraId="55FE808F" w14:textId="77777777" w:rsidR="00A34181" w:rsidRPr="00A34181" w:rsidRDefault="00A34181" w:rsidP="002A6BDB">
            <w:pPr>
              <w:spacing w:line="240" w:lineRule="auto"/>
              <w:jc w:val="right"/>
              <w:rPr>
                <w:rFonts w:cs="Arial"/>
                <w:b/>
                <w:bCs/>
                <w:sz w:val="16"/>
                <w:szCs w:val="22"/>
              </w:rPr>
            </w:pPr>
          </w:p>
        </w:tc>
        <w:tc>
          <w:tcPr>
            <w:tcW w:w="621" w:type="pct"/>
            <w:shd w:val="clear" w:color="auto" w:fill="auto"/>
            <w:noWrap/>
            <w:vAlign w:val="bottom"/>
          </w:tcPr>
          <w:p w14:paraId="1F96E28A" w14:textId="77777777" w:rsidR="00A34181" w:rsidRPr="00A34181" w:rsidRDefault="00A34181" w:rsidP="002A6BDB">
            <w:pPr>
              <w:spacing w:line="240" w:lineRule="auto"/>
              <w:jc w:val="right"/>
              <w:rPr>
                <w:b/>
                <w:bCs/>
                <w:sz w:val="16"/>
                <w:szCs w:val="22"/>
                <w:rFonts w:cs="Arial"/>
              </w:rPr>
            </w:pPr>
            <w:r>
              <w:rPr>
                <w:b/>
                <w:sz w:val="16"/>
              </w:rPr>
              <w:t xml:space="preserve">902.656,88</w:t>
            </w:r>
          </w:p>
        </w:tc>
        <w:tc>
          <w:tcPr>
            <w:tcW w:w="104" w:type="pct"/>
            <w:vMerge/>
            <w:shd w:val="clear" w:color="auto" w:fill="auto"/>
            <w:noWrap/>
            <w:vAlign w:val="bottom"/>
          </w:tcPr>
          <w:p w14:paraId="7A7D93E2" w14:textId="77777777" w:rsidR="00A34181" w:rsidRPr="00A34181" w:rsidRDefault="00A34181" w:rsidP="002A6BDB">
            <w:pPr>
              <w:spacing w:line="240" w:lineRule="auto"/>
              <w:jc w:val="right"/>
              <w:rPr>
                <w:rFonts w:cs="Arial"/>
                <w:b/>
                <w:bCs/>
                <w:sz w:val="16"/>
                <w:szCs w:val="22"/>
              </w:rPr>
            </w:pPr>
          </w:p>
        </w:tc>
        <w:tc>
          <w:tcPr>
            <w:tcW w:w="621" w:type="pct"/>
            <w:shd w:val="clear" w:color="auto" w:fill="auto"/>
            <w:noWrap/>
            <w:vAlign w:val="bottom"/>
          </w:tcPr>
          <w:p w14:paraId="3E9F3771" w14:textId="77777777" w:rsidR="00A34181" w:rsidRPr="00A34181" w:rsidRDefault="00A34181" w:rsidP="002A6BDB">
            <w:pPr>
              <w:spacing w:line="240" w:lineRule="auto"/>
              <w:jc w:val="right"/>
              <w:rPr>
                <w:b/>
                <w:bCs/>
                <w:sz w:val="16"/>
                <w:szCs w:val="22"/>
                <w:rFonts w:cs="Arial"/>
              </w:rPr>
            </w:pPr>
            <w:r>
              <w:rPr>
                <w:b/>
                <w:sz w:val="16"/>
              </w:rPr>
              <w:t xml:space="preserve">913.106,35</w:t>
            </w:r>
          </w:p>
        </w:tc>
      </w:tr>
      <w:tr w:rsidR="00A34181" w:rsidRPr="00A34181" w14:paraId="30C829B1" w14:textId="77777777" w:rsidTr="00A34181">
        <w:trPr>
          <w:trHeight w:val="288"/>
        </w:trPr>
        <w:tc>
          <w:tcPr>
            <w:tcW w:w="2091" w:type="pct"/>
            <w:gridSpan w:val="2"/>
            <w:shd w:val="clear" w:color="auto" w:fill="auto"/>
            <w:noWrap/>
            <w:vAlign w:val="bottom"/>
          </w:tcPr>
          <w:p w14:paraId="2161C716"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3F1F648B"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32610243"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4EA08F0B"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009C7683" w14:textId="77777777" w:rsidR="00A34181" w:rsidRPr="00A34181" w:rsidRDefault="00A34181" w:rsidP="002A6BDB">
            <w:pPr>
              <w:spacing w:line="240" w:lineRule="auto"/>
              <w:rPr>
                <w:rFonts w:cs="Arial"/>
                <w:sz w:val="14"/>
                <w:szCs w:val="22"/>
              </w:rPr>
            </w:pPr>
          </w:p>
        </w:tc>
        <w:tc>
          <w:tcPr>
            <w:tcW w:w="112" w:type="pct"/>
            <w:vMerge/>
            <w:shd w:val="clear" w:color="auto" w:fill="auto"/>
            <w:noWrap/>
            <w:vAlign w:val="bottom"/>
          </w:tcPr>
          <w:p w14:paraId="0D7B2715"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4896F98A"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62F00F37"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2E849EAD" w14:textId="77777777" w:rsidR="00A34181" w:rsidRPr="00A34181" w:rsidRDefault="00A34181" w:rsidP="002A6BDB">
            <w:pPr>
              <w:spacing w:line="240" w:lineRule="auto"/>
              <w:rPr>
                <w:rFonts w:cs="Arial"/>
                <w:sz w:val="14"/>
                <w:szCs w:val="22"/>
              </w:rPr>
            </w:pPr>
          </w:p>
        </w:tc>
      </w:tr>
      <w:tr w:rsidR="00A34181" w:rsidRPr="00A34181" w14:paraId="02F70DFE" w14:textId="77777777" w:rsidTr="00A34181">
        <w:trPr>
          <w:trHeight w:val="288"/>
        </w:trPr>
        <w:tc>
          <w:tcPr>
            <w:tcW w:w="1470" w:type="pct"/>
            <w:shd w:val="clear" w:color="auto" w:fill="auto"/>
            <w:noWrap/>
            <w:vAlign w:val="bottom"/>
          </w:tcPr>
          <w:p w14:paraId="09F432C9" w14:textId="77777777" w:rsidR="00A34181" w:rsidRPr="00A34181" w:rsidRDefault="00A34181" w:rsidP="002A6BDB">
            <w:pPr>
              <w:spacing w:line="240" w:lineRule="auto"/>
              <w:rPr>
                <w:b/>
                <w:bCs/>
                <w:sz w:val="14"/>
                <w:szCs w:val="22"/>
                <w:rFonts w:cs="Arial"/>
              </w:rPr>
            </w:pPr>
            <w:r>
              <w:rPr>
                <w:b/>
                <w:sz w:val="16"/>
              </w:rPr>
              <w:t xml:space="preserve">INDUSTRIAKO HONDAKINEN FLUXUA:</w:t>
            </w:r>
          </w:p>
        </w:tc>
        <w:tc>
          <w:tcPr>
            <w:tcW w:w="621" w:type="pct"/>
            <w:shd w:val="clear" w:color="auto" w:fill="auto"/>
            <w:noWrap/>
            <w:vAlign w:val="bottom"/>
          </w:tcPr>
          <w:p w14:paraId="784D076F" w14:textId="77777777" w:rsidR="00A34181" w:rsidRPr="00A34181" w:rsidRDefault="00A34181" w:rsidP="002A6BDB">
            <w:pPr>
              <w:spacing w:line="240" w:lineRule="auto"/>
              <w:rPr>
                <w:rFonts w:cs="Arial"/>
                <w:b/>
                <w:bCs/>
                <w:sz w:val="14"/>
                <w:szCs w:val="22"/>
                <w:u w:val="single"/>
              </w:rPr>
            </w:pPr>
          </w:p>
        </w:tc>
        <w:tc>
          <w:tcPr>
            <w:tcW w:w="104" w:type="pct"/>
            <w:vMerge/>
            <w:shd w:val="clear" w:color="auto" w:fill="auto"/>
            <w:noWrap/>
            <w:vAlign w:val="bottom"/>
          </w:tcPr>
          <w:p w14:paraId="3E2312ED"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6299F3A0"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47241FAF"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4FE05F41" w14:textId="77777777" w:rsidR="00A34181" w:rsidRPr="00A34181" w:rsidRDefault="00A34181" w:rsidP="002A6BDB">
            <w:pPr>
              <w:spacing w:line="240" w:lineRule="auto"/>
              <w:rPr>
                <w:rFonts w:cs="Arial"/>
                <w:sz w:val="14"/>
                <w:szCs w:val="22"/>
              </w:rPr>
            </w:pPr>
          </w:p>
        </w:tc>
        <w:tc>
          <w:tcPr>
            <w:tcW w:w="112" w:type="pct"/>
            <w:vMerge/>
            <w:shd w:val="clear" w:color="auto" w:fill="auto"/>
            <w:noWrap/>
            <w:vAlign w:val="bottom"/>
          </w:tcPr>
          <w:p w14:paraId="6DB322EB"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0C4F7734"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5F9CB3AC"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19A5A6A7" w14:textId="77777777" w:rsidR="00A34181" w:rsidRPr="00A34181" w:rsidRDefault="00A34181" w:rsidP="002A6BDB">
            <w:pPr>
              <w:spacing w:line="240" w:lineRule="auto"/>
              <w:rPr>
                <w:rFonts w:cs="Arial"/>
                <w:sz w:val="14"/>
                <w:szCs w:val="22"/>
              </w:rPr>
            </w:pPr>
          </w:p>
        </w:tc>
      </w:tr>
      <w:tr w:rsidR="00A34181" w:rsidRPr="00A34181" w14:paraId="07FAF74E" w14:textId="77777777" w:rsidTr="00A34181">
        <w:trPr>
          <w:trHeight w:val="288"/>
        </w:trPr>
        <w:tc>
          <w:tcPr>
            <w:tcW w:w="1470" w:type="pct"/>
            <w:shd w:val="clear" w:color="auto" w:fill="auto"/>
            <w:noWrap/>
            <w:vAlign w:val="bottom"/>
          </w:tcPr>
          <w:p w14:paraId="5AE07B06" w14:textId="77777777" w:rsidR="00A34181" w:rsidRPr="00A34181" w:rsidRDefault="00A34181" w:rsidP="00A34181">
            <w:pPr>
              <w:spacing w:line="240" w:lineRule="auto"/>
              <w:jc w:val="right"/>
              <w:rPr>
                <w:b/>
                <w:sz w:val="14"/>
                <w:szCs w:val="22"/>
                <w:rFonts w:cs="Arial"/>
              </w:rPr>
            </w:pPr>
            <w:r>
              <w:rPr>
                <w:b/>
                <w:sz w:val="14"/>
              </w:rPr>
              <w:t xml:space="preserve">Sartzeke dauden kredituak</w:t>
            </w:r>
          </w:p>
        </w:tc>
        <w:tc>
          <w:tcPr>
            <w:tcW w:w="621" w:type="pct"/>
            <w:shd w:val="clear" w:color="auto" w:fill="auto"/>
            <w:noWrap/>
            <w:vAlign w:val="bottom"/>
          </w:tcPr>
          <w:p w14:paraId="70DC8665" w14:textId="77777777" w:rsidR="00A34181" w:rsidRPr="00A34181" w:rsidRDefault="00A34181" w:rsidP="002A6BDB">
            <w:pPr>
              <w:spacing w:line="240" w:lineRule="auto"/>
              <w:jc w:val="right"/>
              <w:rPr>
                <w:sz w:val="14"/>
                <w:szCs w:val="22"/>
                <w:rFonts w:cs="Arial"/>
              </w:rPr>
            </w:pPr>
            <w:r>
              <w:rPr>
                <w:sz w:val="14"/>
              </w:rPr>
              <w:t xml:space="preserve">232.774,86</w:t>
            </w:r>
          </w:p>
        </w:tc>
        <w:tc>
          <w:tcPr>
            <w:tcW w:w="104" w:type="pct"/>
            <w:vMerge/>
            <w:shd w:val="clear" w:color="auto" w:fill="auto"/>
            <w:noWrap/>
            <w:vAlign w:val="bottom"/>
          </w:tcPr>
          <w:p w14:paraId="571CD324"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07DCEF10" w14:textId="77777777" w:rsidR="00A34181" w:rsidRPr="00A34181" w:rsidRDefault="00A34181" w:rsidP="002A6BDB">
            <w:pPr>
              <w:spacing w:line="240" w:lineRule="auto"/>
              <w:jc w:val="right"/>
              <w:rPr>
                <w:sz w:val="14"/>
                <w:szCs w:val="22"/>
                <w:rFonts w:cs="Arial"/>
              </w:rPr>
            </w:pPr>
            <w:r>
              <w:rPr>
                <w:sz w:val="14"/>
              </w:rPr>
              <w:t xml:space="preserve">1.207.790,30</w:t>
            </w:r>
          </w:p>
        </w:tc>
        <w:tc>
          <w:tcPr>
            <w:tcW w:w="104" w:type="pct"/>
            <w:vMerge/>
            <w:shd w:val="clear" w:color="auto" w:fill="auto"/>
            <w:noWrap/>
            <w:vAlign w:val="bottom"/>
          </w:tcPr>
          <w:p w14:paraId="41CBEA44"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46E7080C" w14:textId="77777777" w:rsidR="00A34181" w:rsidRPr="00A34181" w:rsidRDefault="00A34181" w:rsidP="002A6BDB">
            <w:pPr>
              <w:spacing w:line="240" w:lineRule="auto"/>
              <w:jc w:val="right"/>
              <w:rPr>
                <w:sz w:val="14"/>
                <w:szCs w:val="22"/>
                <w:rFonts w:cs="Arial"/>
              </w:rPr>
            </w:pPr>
            <w:r>
              <w:rPr>
                <w:sz w:val="14"/>
              </w:rPr>
              <w:t xml:space="preserve">934.670,79</w:t>
            </w:r>
          </w:p>
        </w:tc>
        <w:tc>
          <w:tcPr>
            <w:tcW w:w="112" w:type="pct"/>
            <w:vMerge/>
            <w:shd w:val="clear" w:color="auto" w:fill="auto"/>
            <w:noWrap/>
            <w:vAlign w:val="bottom"/>
          </w:tcPr>
          <w:p w14:paraId="282C89EE"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4FB43392" w14:textId="77777777" w:rsidR="00A34181" w:rsidRPr="00A34181" w:rsidRDefault="00A34181" w:rsidP="002A6BDB">
            <w:pPr>
              <w:spacing w:line="240" w:lineRule="auto"/>
              <w:jc w:val="right"/>
              <w:rPr>
                <w:sz w:val="14"/>
                <w:szCs w:val="22"/>
                <w:rFonts w:cs="Arial"/>
              </w:rPr>
            </w:pPr>
            <w:r>
              <w:rPr>
                <w:sz w:val="14"/>
              </w:rPr>
              <w:t xml:space="preserve">956.984,02</w:t>
            </w:r>
          </w:p>
        </w:tc>
        <w:tc>
          <w:tcPr>
            <w:tcW w:w="104" w:type="pct"/>
            <w:vMerge/>
            <w:shd w:val="clear" w:color="auto" w:fill="auto"/>
            <w:noWrap/>
            <w:vAlign w:val="bottom"/>
          </w:tcPr>
          <w:p w14:paraId="4F2B4626"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4A2EFF0A" w14:textId="77777777" w:rsidR="00A34181" w:rsidRPr="00A34181" w:rsidRDefault="00A34181" w:rsidP="002A6BDB">
            <w:pPr>
              <w:spacing w:line="240" w:lineRule="auto"/>
              <w:jc w:val="right"/>
              <w:rPr>
                <w:sz w:val="14"/>
                <w:szCs w:val="22"/>
                <w:rFonts w:cs="Arial"/>
              </w:rPr>
            </w:pPr>
            <w:r>
              <w:rPr>
                <w:sz w:val="14"/>
              </w:rPr>
              <w:t xml:space="preserve">1.432.330,08</w:t>
            </w:r>
          </w:p>
        </w:tc>
      </w:tr>
      <w:tr w:rsidR="00A34181" w:rsidRPr="00A34181" w14:paraId="10B0542B" w14:textId="77777777" w:rsidTr="00A34181">
        <w:trPr>
          <w:trHeight w:val="288"/>
        </w:trPr>
        <w:tc>
          <w:tcPr>
            <w:tcW w:w="1470" w:type="pct"/>
            <w:shd w:val="clear" w:color="auto" w:fill="auto"/>
            <w:noWrap/>
            <w:vAlign w:val="bottom"/>
          </w:tcPr>
          <w:p w14:paraId="41EE288D" w14:textId="77777777" w:rsidR="00A34181" w:rsidRPr="00A34181" w:rsidRDefault="00A34181" w:rsidP="00A34181">
            <w:pPr>
              <w:spacing w:line="240" w:lineRule="auto"/>
              <w:jc w:val="right"/>
              <w:rPr>
                <w:b/>
                <w:sz w:val="14"/>
                <w:szCs w:val="22"/>
                <w:rFonts w:cs="Arial"/>
              </w:rPr>
            </w:pPr>
            <w:r>
              <w:rPr>
                <w:b/>
                <w:sz w:val="14"/>
              </w:rPr>
              <w:t xml:space="preserve">Sartu diren kredituak</w:t>
            </w:r>
          </w:p>
        </w:tc>
        <w:tc>
          <w:tcPr>
            <w:tcW w:w="621" w:type="pct"/>
            <w:shd w:val="clear" w:color="auto" w:fill="auto"/>
            <w:noWrap/>
            <w:vAlign w:val="bottom"/>
          </w:tcPr>
          <w:p w14:paraId="6896926B" w14:textId="77777777" w:rsidR="00A34181" w:rsidRPr="00A34181" w:rsidRDefault="00A34181" w:rsidP="002A6BDB">
            <w:pPr>
              <w:spacing w:line="240" w:lineRule="auto"/>
              <w:jc w:val="right"/>
              <w:rPr>
                <w:sz w:val="14"/>
                <w:szCs w:val="22"/>
                <w:rFonts w:cs="Arial"/>
              </w:rPr>
            </w:pPr>
            <w:r>
              <w:rPr>
                <w:sz w:val="14"/>
              </w:rPr>
              <w:t xml:space="preserve">-232.774,86</w:t>
            </w:r>
          </w:p>
        </w:tc>
        <w:tc>
          <w:tcPr>
            <w:tcW w:w="104" w:type="pct"/>
            <w:vMerge/>
            <w:shd w:val="clear" w:color="auto" w:fill="auto"/>
            <w:noWrap/>
            <w:vAlign w:val="bottom"/>
          </w:tcPr>
          <w:p w14:paraId="737C13F8"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7A171005"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61CE84A1"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4AC2F538" w14:textId="77777777" w:rsidR="00A34181" w:rsidRPr="00A34181" w:rsidRDefault="00A34181" w:rsidP="002A6BDB">
            <w:pPr>
              <w:spacing w:line="240" w:lineRule="auto"/>
              <w:rPr>
                <w:rFonts w:cs="Arial"/>
                <w:sz w:val="14"/>
                <w:szCs w:val="22"/>
              </w:rPr>
            </w:pPr>
          </w:p>
        </w:tc>
        <w:tc>
          <w:tcPr>
            <w:tcW w:w="112" w:type="pct"/>
            <w:vMerge/>
            <w:shd w:val="clear" w:color="auto" w:fill="auto"/>
            <w:noWrap/>
            <w:vAlign w:val="bottom"/>
          </w:tcPr>
          <w:p w14:paraId="3446524A"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08CFBEC6"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24D655E6"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4DAA1339" w14:textId="77777777" w:rsidR="00A34181" w:rsidRPr="00A34181" w:rsidRDefault="00A34181" w:rsidP="002A6BDB">
            <w:pPr>
              <w:spacing w:line="240" w:lineRule="auto"/>
              <w:rPr>
                <w:rFonts w:cs="Arial"/>
                <w:sz w:val="14"/>
                <w:szCs w:val="22"/>
              </w:rPr>
            </w:pPr>
          </w:p>
        </w:tc>
      </w:tr>
      <w:tr w:rsidR="00A34181" w:rsidRPr="00A34181" w14:paraId="795A30EA" w14:textId="77777777" w:rsidTr="00A34181">
        <w:trPr>
          <w:trHeight w:val="288"/>
        </w:trPr>
        <w:tc>
          <w:tcPr>
            <w:tcW w:w="1470" w:type="pct"/>
            <w:shd w:val="clear" w:color="auto" w:fill="auto"/>
            <w:noWrap/>
            <w:vAlign w:val="bottom"/>
          </w:tcPr>
          <w:p w14:paraId="57999CA8" w14:textId="77777777" w:rsidR="00A34181" w:rsidRPr="00A34181" w:rsidRDefault="00A34181" w:rsidP="00A34181">
            <w:pPr>
              <w:spacing w:line="240" w:lineRule="auto"/>
              <w:jc w:val="right"/>
              <w:rPr>
                <w:b/>
                <w:sz w:val="14"/>
                <w:szCs w:val="22"/>
                <w:rFonts w:cs="Arial"/>
              </w:rPr>
            </w:pPr>
            <w:r>
              <w:rPr>
                <w:b/>
                <w:sz w:val="14"/>
              </w:rPr>
              <w:t xml:space="preserve">Justifikatzeke dauden kredituak (epea zehazteke)</w:t>
            </w:r>
          </w:p>
        </w:tc>
        <w:tc>
          <w:tcPr>
            <w:tcW w:w="621" w:type="pct"/>
            <w:shd w:val="clear" w:color="auto" w:fill="auto"/>
            <w:noWrap/>
            <w:vAlign w:val="bottom"/>
          </w:tcPr>
          <w:p w14:paraId="3B1BCB39"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34501CA7"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00680F6F"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3324C3DB"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247A7AAF" w14:textId="77777777" w:rsidR="00A34181" w:rsidRPr="00A34181" w:rsidRDefault="00A34181" w:rsidP="002A6BDB">
            <w:pPr>
              <w:spacing w:line="240" w:lineRule="auto"/>
              <w:rPr>
                <w:rFonts w:cs="Arial"/>
                <w:sz w:val="14"/>
                <w:szCs w:val="22"/>
              </w:rPr>
            </w:pPr>
          </w:p>
        </w:tc>
        <w:tc>
          <w:tcPr>
            <w:tcW w:w="112" w:type="pct"/>
            <w:vMerge/>
            <w:shd w:val="clear" w:color="auto" w:fill="auto"/>
            <w:noWrap/>
            <w:vAlign w:val="bottom"/>
          </w:tcPr>
          <w:p w14:paraId="09C15070"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58378964"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659E9DB6"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11154DE6" w14:textId="77777777" w:rsidR="00A34181" w:rsidRPr="00A34181" w:rsidRDefault="00A34181" w:rsidP="002A6BDB">
            <w:pPr>
              <w:spacing w:line="240" w:lineRule="auto"/>
              <w:jc w:val="right"/>
              <w:rPr>
                <w:sz w:val="14"/>
                <w:szCs w:val="22"/>
                <w:rFonts w:cs="Arial"/>
              </w:rPr>
            </w:pPr>
            <w:r>
              <w:rPr>
                <w:sz w:val="14"/>
              </w:rPr>
              <w:t xml:space="preserve">1.432.330,08</w:t>
            </w:r>
          </w:p>
        </w:tc>
      </w:tr>
      <w:tr w:rsidR="00A34181" w:rsidRPr="00A34181" w14:paraId="7D281C2E" w14:textId="77777777" w:rsidTr="00A34181">
        <w:trPr>
          <w:trHeight w:val="288"/>
        </w:trPr>
        <w:tc>
          <w:tcPr>
            <w:tcW w:w="1470" w:type="pct"/>
            <w:shd w:val="clear" w:color="auto" w:fill="auto"/>
            <w:noWrap/>
            <w:vAlign w:val="bottom"/>
          </w:tcPr>
          <w:p w14:paraId="14138256" w14:textId="77777777" w:rsidR="00A34181" w:rsidRPr="00A34181" w:rsidRDefault="00A34181" w:rsidP="002A6BDB">
            <w:pPr>
              <w:spacing w:line="240" w:lineRule="auto"/>
              <w:rPr>
                <w:b/>
                <w:bCs/>
                <w:sz w:val="14"/>
                <w:szCs w:val="22"/>
                <w:rFonts w:cs="Arial"/>
              </w:rPr>
            </w:pPr>
            <w:r>
              <w:rPr>
                <w:b/>
                <w:sz w:val="16"/>
              </w:rPr>
              <w:t xml:space="preserve">SALDOA</w:t>
            </w:r>
          </w:p>
        </w:tc>
        <w:tc>
          <w:tcPr>
            <w:tcW w:w="621" w:type="pct"/>
            <w:shd w:val="clear" w:color="auto" w:fill="auto"/>
            <w:noWrap/>
            <w:vAlign w:val="bottom"/>
          </w:tcPr>
          <w:p w14:paraId="4B7BE480" w14:textId="77777777" w:rsidR="00A34181" w:rsidRPr="00A34181" w:rsidRDefault="00A34181" w:rsidP="002A6BDB">
            <w:pPr>
              <w:spacing w:line="240" w:lineRule="auto"/>
              <w:jc w:val="right"/>
              <w:rPr>
                <w:b/>
                <w:bCs/>
                <w:sz w:val="16"/>
                <w:szCs w:val="22"/>
                <w:rFonts w:cs="Arial"/>
              </w:rPr>
            </w:pPr>
            <w:r>
              <w:rPr>
                <w:b/>
                <w:sz w:val="16"/>
              </w:rPr>
              <w:t xml:space="preserve">0,00</w:t>
            </w:r>
          </w:p>
        </w:tc>
        <w:tc>
          <w:tcPr>
            <w:tcW w:w="104" w:type="pct"/>
            <w:vMerge/>
            <w:shd w:val="clear" w:color="auto" w:fill="auto"/>
            <w:noWrap/>
            <w:vAlign w:val="bottom"/>
          </w:tcPr>
          <w:p w14:paraId="6AF9D25F" w14:textId="77777777" w:rsidR="00A34181" w:rsidRPr="00A34181" w:rsidRDefault="00A34181" w:rsidP="002A6BDB">
            <w:pPr>
              <w:spacing w:line="240" w:lineRule="auto"/>
              <w:jc w:val="right"/>
              <w:rPr>
                <w:rFonts w:cs="Arial"/>
                <w:b/>
                <w:bCs/>
                <w:sz w:val="16"/>
                <w:szCs w:val="22"/>
              </w:rPr>
            </w:pPr>
          </w:p>
        </w:tc>
        <w:tc>
          <w:tcPr>
            <w:tcW w:w="621" w:type="pct"/>
            <w:shd w:val="clear" w:color="auto" w:fill="auto"/>
            <w:noWrap/>
            <w:vAlign w:val="bottom"/>
          </w:tcPr>
          <w:p w14:paraId="0D08787B" w14:textId="77777777" w:rsidR="00A34181" w:rsidRPr="00A34181" w:rsidRDefault="00A34181" w:rsidP="002A6BDB">
            <w:pPr>
              <w:spacing w:line="240" w:lineRule="auto"/>
              <w:jc w:val="right"/>
              <w:rPr>
                <w:b/>
                <w:bCs/>
                <w:sz w:val="16"/>
                <w:szCs w:val="22"/>
                <w:rFonts w:cs="Arial"/>
              </w:rPr>
            </w:pPr>
            <w:r>
              <w:rPr>
                <w:b/>
                <w:sz w:val="16"/>
              </w:rPr>
              <w:t xml:space="preserve">1.207.790,30</w:t>
            </w:r>
          </w:p>
        </w:tc>
        <w:tc>
          <w:tcPr>
            <w:tcW w:w="104" w:type="pct"/>
            <w:vMerge/>
            <w:shd w:val="clear" w:color="auto" w:fill="auto"/>
            <w:noWrap/>
            <w:vAlign w:val="bottom"/>
          </w:tcPr>
          <w:p w14:paraId="1902C4CD" w14:textId="77777777" w:rsidR="00A34181" w:rsidRPr="00A34181" w:rsidRDefault="00A34181" w:rsidP="002A6BDB">
            <w:pPr>
              <w:spacing w:line="240" w:lineRule="auto"/>
              <w:jc w:val="right"/>
              <w:rPr>
                <w:rFonts w:cs="Arial"/>
                <w:b/>
                <w:bCs/>
                <w:sz w:val="16"/>
                <w:szCs w:val="22"/>
              </w:rPr>
            </w:pPr>
          </w:p>
        </w:tc>
        <w:tc>
          <w:tcPr>
            <w:tcW w:w="621" w:type="pct"/>
            <w:shd w:val="clear" w:color="auto" w:fill="auto"/>
            <w:noWrap/>
            <w:vAlign w:val="bottom"/>
          </w:tcPr>
          <w:p w14:paraId="1A44B634" w14:textId="77777777" w:rsidR="00A34181" w:rsidRPr="00A34181" w:rsidRDefault="00A34181" w:rsidP="002A6BDB">
            <w:pPr>
              <w:spacing w:line="240" w:lineRule="auto"/>
              <w:jc w:val="right"/>
              <w:rPr>
                <w:b/>
                <w:bCs/>
                <w:sz w:val="16"/>
                <w:szCs w:val="22"/>
                <w:rFonts w:cs="Arial"/>
              </w:rPr>
            </w:pPr>
            <w:r>
              <w:rPr>
                <w:b/>
                <w:sz w:val="16"/>
              </w:rPr>
              <w:t xml:space="preserve">2.142.461,09</w:t>
            </w:r>
          </w:p>
        </w:tc>
        <w:tc>
          <w:tcPr>
            <w:tcW w:w="112" w:type="pct"/>
            <w:vMerge/>
            <w:shd w:val="clear" w:color="auto" w:fill="auto"/>
            <w:noWrap/>
            <w:vAlign w:val="bottom"/>
          </w:tcPr>
          <w:p w14:paraId="590EB88A" w14:textId="77777777" w:rsidR="00A34181" w:rsidRPr="00A34181" w:rsidRDefault="00A34181" w:rsidP="002A6BDB">
            <w:pPr>
              <w:spacing w:line="240" w:lineRule="auto"/>
              <w:jc w:val="right"/>
              <w:rPr>
                <w:rFonts w:cs="Arial"/>
                <w:b/>
                <w:bCs/>
                <w:sz w:val="16"/>
                <w:szCs w:val="22"/>
              </w:rPr>
            </w:pPr>
          </w:p>
        </w:tc>
        <w:tc>
          <w:tcPr>
            <w:tcW w:w="621" w:type="pct"/>
            <w:shd w:val="clear" w:color="auto" w:fill="auto"/>
            <w:noWrap/>
            <w:vAlign w:val="bottom"/>
          </w:tcPr>
          <w:p w14:paraId="24CA6332" w14:textId="77777777" w:rsidR="00A34181" w:rsidRPr="00A34181" w:rsidRDefault="00A34181" w:rsidP="002A6BDB">
            <w:pPr>
              <w:spacing w:line="240" w:lineRule="auto"/>
              <w:jc w:val="right"/>
              <w:rPr>
                <w:b/>
                <w:bCs/>
                <w:sz w:val="16"/>
                <w:szCs w:val="22"/>
                <w:rFonts w:cs="Arial"/>
              </w:rPr>
            </w:pPr>
            <w:r>
              <w:rPr>
                <w:b/>
                <w:sz w:val="16"/>
              </w:rPr>
              <w:t xml:space="preserve">3.099.445,11</w:t>
            </w:r>
          </w:p>
        </w:tc>
        <w:tc>
          <w:tcPr>
            <w:tcW w:w="104" w:type="pct"/>
            <w:vMerge/>
            <w:shd w:val="clear" w:color="auto" w:fill="auto"/>
            <w:noWrap/>
            <w:vAlign w:val="bottom"/>
          </w:tcPr>
          <w:p w14:paraId="034C3F92" w14:textId="77777777" w:rsidR="00A34181" w:rsidRPr="00A34181" w:rsidRDefault="00A34181" w:rsidP="002A6BDB">
            <w:pPr>
              <w:spacing w:line="240" w:lineRule="auto"/>
              <w:jc w:val="right"/>
              <w:rPr>
                <w:rFonts w:cs="Arial"/>
                <w:b/>
                <w:bCs/>
                <w:sz w:val="16"/>
                <w:szCs w:val="22"/>
              </w:rPr>
            </w:pPr>
          </w:p>
        </w:tc>
        <w:tc>
          <w:tcPr>
            <w:tcW w:w="621" w:type="pct"/>
            <w:shd w:val="clear" w:color="auto" w:fill="auto"/>
            <w:noWrap/>
            <w:vAlign w:val="bottom"/>
          </w:tcPr>
          <w:p w14:paraId="1F2F85AE" w14:textId="77777777" w:rsidR="00A34181" w:rsidRPr="00A34181" w:rsidRDefault="00A34181" w:rsidP="002A6BDB">
            <w:pPr>
              <w:spacing w:line="240" w:lineRule="auto"/>
              <w:jc w:val="right"/>
              <w:rPr>
                <w:b/>
                <w:bCs/>
                <w:sz w:val="16"/>
                <w:szCs w:val="22"/>
                <w:rFonts w:cs="Arial"/>
              </w:rPr>
            </w:pPr>
            <w:r>
              <w:rPr>
                <w:b/>
                <w:sz w:val="16"/>
              </w:rPr>
              <w:t xml:space="preserve">3.099.445,11</w:t>
            </w:r>
          </w:p>
        </w:tc>
      </w:tr>
      <w:tr w:rsidR="00A34181" w:rsidRPr="00A34181" w14:paraId="6A0FEA03" w14:textId="77777777" w:rsidTr="00A34181">
        <w:trPr>
          <w:trHeight w:val="288"/>
        </w:trPr>
        <w:tc>
          <w:tcPr>
            <w:tcW w:w="2091" w:type="pct"/>
            <w:gridSpan w:val="2"/>
            <w:shd w:val="clear" w:color="auto" w:fill="auto"/>
            <w:noWrap/>
            <w:vAlign w:val="bottom"/>
          </w:tcPr>
          <w:p w14:paraId="06CE1BDB"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2C0F5FE0"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64DDDA82"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2E1487AB"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64A567D0" w14:textId="77777777" w:rsidR="00A34181" w:rsidRPr="00A34181" w:rsidRDefault="00A34181" w:rsidP="002A6BDB">
            <w:pPr>
              <w:spacing w:line="240" w:lineRule="auto"/>
              <w:rPr>
                <w:rFonts w:cs="Arial"/>
                <w:sz w:val="14"/>
                <w:szCs w:val="22"/>
              </w:rPr>
            </w:pPr>
          </w:p>
        </w:tc>
        <w:tc>
          <w:tcPr>
            <w:tcW w:w="112" w:type="pct"/>
            <w:vMerge/>
            <w:shd w:val="clear" w:color="auto" w:fill="auto"/>
            <w:noWrap/>
            <w:vAlign w:val="bottom"/>
          </w:tcPr>
          <w:p w14:paraId="388C7559"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7F7EA88D"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39152588"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7B4D9311" w14:textId="77777777" w:rsidR="00A34181" w:rsidRPr="00A34181" w:rsidRDefault="00A34181" w:rsidP="002A6BDB">
            <w:pPr>
              <w:spacing w:line="240" w:lineRule="auto"/>
              <w:rPr>
                <w:rFonts w:cs="Arial"/>
                <w:sz w:val="14"/>
                <w:szCs w:val="22"/>
              </w:rPr>
            </w:pPr>
          </w:p>
        </w:tc>
      </w:tr>
      <w:tr w:rsidR="00A34181" w:rsidRPr="00A34181" w14:paraId="0A05AC53" w14:textId="77777777" w:rsidTr="00A34181">
        <w:trPr>
          <w:trHeight w:val="288"/>
        </w:trPr>
        <w:tc>
          <w:tcPr>
            <w:tcW w:w="1470" w:type="pct"/>
            <w:shd w:val="clear" w:color="auto" w:fill="auto"/>
            <w:noWrap/>
            <w:vAlign w:val="bottom"/>
          </w:tcPr>
          <w:p w14:paraId="7F915239" w14:textId="77777777" w:rsidR="00A34181" w:rsidRPr="00A34181" w:rsidRDefault="00A34181" w:rsidP="002A6BDB">
            <w:pPr>
              <w:spacing w:line="240" w:lineRule="auto"/>
              <w:rPr>
                <w:b/>
                <w:bCs/>
                <w:sz w:val="14"/>
                <w:szCs w:val="22"/>
                <w:rFonts w:cs="Arial"/>
              </w:rPr>
            </w:pPr>
            <w:r>
              <w:rPr>
                <w:b/>
                <w:sz w:val="16"/>
              </w:rPr>
              <w:t xml:space="preserve">EEH-EN ETA HMN-EN FLUXUA:</w:t>
            </w:r>
          </w:p>
        </w:tc>
        <w:tc>
          <w:tcPr>
            <w:tcW w:w="621" w:type="pct"/>
            <w:shd w:val="clear" w:color="auto" w:fill="auto"/>
            <w:noWrap/>
            <w:vAlign w:val="bottom"/>
          </w:tcPr>
          <w:p w14:paraId="050C4C72" w14:textId="77777777" w:rsidR="00A34181" w:rsidRPr="00A34181" w:rsidRDefault="00A34181" w:rsidP="002A6BDB">
            <w:pPr>
              <w:spacing w:line="240" w:lineRule="auto"/>
              <w:rPr>
                <w:rFonts w:cs="Arial"/>
                <w:b/>
                <w:bCs/>
                <w:sz w:val="14"/>
                <w:szCs w:val="22"/>
                <w:u w:val="single"/>
              </w:rPr>
            </w:pPr>
          </w:p>
        </w:tc>
        <w:tc>
          <w:tcPr>
            <w:tcW w:w="104" w:type="pct"/>
            <w:vMerge/>
            <w:shd w:val="clear" w:color="auto" w:fill="auto"/>
            <w:noWrap/>
            <w:vAlign w:val="bottom"/>
          </w:tcPr>
          <w:p w14:paraId="43DD6F15"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20FB3EEA"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61A95905"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38C8EFA1" w14:textId="77777777" w:rsidR="00A34181" w:rsidRPr="00A34181" w:rsidRDefault="00A34181" w:rsidP="002A6BDB">
            <w:pPr>
              <w:spacing w:line="240" w:lineRule="auto"/>
              <w:rPr>
                <w:rFonts w:cs="Arial"/>
                <w:sz w:val="14"/>
                <w:szCs w:val="22"/>
              </w:rPr>
            </w:pPr>
          </w:p>
        </w:tc>
        <w:tc>
          <w:tcPr>
            <w:tcW w:w="112" w:type="pct"/>
            <w:vMerge/>
            <w:shd w:val="clear" w:color="auto" w:fill="auto"/>
            <w:noWrap/>
            <w:vAlign w:val="bottom"/>
          </w:tcPr>
          <w:p w14:paraId="0F9DD306"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34B5575C"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2BE53785"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138FADA7" w14:textId="77777777" w:rsidR="00A34181" w:rsidRPr="00A34181" w:rsidRDefault="00A34181" w:rsidP="002A6BDB">
            <w:pPr>
              <w:spacing w:line="240" w:lineRule="auto"/>
              <w:rPr>
                <w:rFonts w:cs="Arial"/>
                <w:sz w:val="14"/>
                <w:szCs w:val="22"/>
              </w:rPr>
            </w:pPr>
          </w:p>
        </w:tc>
      </w:tr>
      <w:tr w:rsidR="00A34181" w:rsidRPr="00A34181" w14:paraId="738B414C" w14:textId="77777777" w:rsidTr="00A34181">
        <w:trPr>
          <w:trHeight w:val="288"/>
        </w:trPr>
        <w:tc>
          <w:tcPr>
            <w:tcW w:w="1470" w:type="pct"/>
            <w:shd w:val="clear" w:color="auto" w:fill="auto"/>
            <w:noWrap/>
            <w:vAlign w:val="bottom"/>
          </w:tcPr>
          <w:p w14:paraId="16B098AA" w14:textId="77777777" w:rsidR="00A34181" w:rsidRPr="00A34181" w:rsidRDefault="00A34181" w:rsidP="00A34181">
            <w:pPr>
              <w:spacing w:line="240" w:lineRule="auto"/>
              <w:jc w:val="right"/>
              <w:rPr>
                <w:b/>
                <w:sz w:val="14"/>
                <w:szCs w:val="22"/>
                <w:rFonts w:cs="Arial"/>
              </w:rPr>
            </w:pPr>
            <w:r>
              <w:rPr>
                <w:b/>
                <w:sz w:val="14"/>
              </w:rPr>
              <w:t xml:space="preserve">Sartzeke dauden kredituak</w:t>
            </w:r>
          </w:p>
        </w:tc>
        <w:tc>
          <w:tcPr>
            <w:tcW w:w="621" w:type="pct"/>
            <w:shd w:val="clear" w:color="auto" w:fill="auto"/>
            <w:noWrap/>
            <w:vAlign w:val="bottom"/>
          </w:tcPr>
          <w:p w14:paraId="0FDD6131" w14:textId="77777777" w:rsidR="00A34181" w:rsidRPr="00A34181" w:rsidRDefault="00A34181" w:rsidP="002A6BDB">
            <w:pPr>
              <w:spacing w:line="240" w:lineRule="auto"/>
              <w:jc w:val="right"/>
              <w:rPr>
                <w:sz w:val="14"/>
                <w:szCs w:val="22"/>
                <w:rFonts w:cs="Arial"/>
              </w:rPr>
            </w:pPr>
            <w:r>
              <w:rPr>
                <w:sz w:val="14"/>
              </w:rPr>
              <w:t xml:space="preserve">236.446,47</w:t>
            </w:r>
          </w:p>
        </w:tc>
        <w:tc>
          <w:tcPr>
            <w:tcW w:w="104" w:type="pct"/>
            <w:vMerge/>
            <w:shd w:val="clear" w:color="auto" w:fill="auto"/>
            <w:noWrap/>
            <w:vAlign w:val="bottom"/>
          </w:tcPr>
          <w:p w14:paraId="3AE64774"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2F4FFEE4" w14:textId="77777777" w:rsidR="00A34181" w:rsidRPr="00A34181" w:rsidRDefault="00A34181" w:rsidP="002A6BDB">
            <w:pPr>
              <w:spacing w:line="240" w:lineRule="auto"/>
              <w:jc w:val="right"/>
              <w:rPr>
                <w:sz w:val="14"/>
                <w:szCs w:val="22"/>
                <w:rFonts w:cs="Arial"/>
              </w:rPr>
            </w:pPr>
            <w:r>
              <w:rPr>
                <w:sz w:val="14"/>
              </w:rPr>
              <w:t xml:space="preserve">1.124.133,69</w:t>
            </w:r>
          </w:p>
        </w:tc>
        <w:tc>
          <w:tcPr>
            <w:tcW w:w="104" w:type="pct"/>
            <w:vMerge/>
            <w:shd w:val="clear" w:color="auto" w:fill="auto"/>
            <w:noWrap/>
            <w:vAlign w:val="bottom"/>
          </w:tcPr>
          <w:p w14:paraId="2AF22AD3"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2761AAC2" w14:textId="77777777" w:rsidR="00A34181" w:rsidRPr="00A34181" w:rsidRDefault="00A34181" w:rsidP="002A6BDB">
            <w:pPr>
              <w:spacing w:line="240" w:lineRule="auto"/>
              <w:jc w:val="right"/>
              <w:rPr>
                <w:sz w:val="14"/>
                <w:szCs w:val="22"/>
                <w:rFonts w:cs="Arial"/>
              </w:rPr>
            </w:pPr>
            <w:r>
              <w:rPr>
                <w:sz w:val="14"/>
              </w:rPr>
              <w:t xml:space="preserve">400.999,83</w:t>
            </w:r>
          </w:p>
        </w:tc>
        <w:tc>
          <w:tcPr>
            <w:tcW w:w="112" w:type="pct"/>
            <w:vMerge/>
            <w:shd w:val="clear" w:color="auto" w:fill="auto"/>
            <w:noWrap/>
            <w:vAlign w:val="bottom"/>
          </w:tcPr>
          <w:p w14:paraId="68E0A09A"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0C7E22C5" w14:textId="77777777" w:rsidR="00A34181" w:rsidRPr="00A34181" w:rsidRDefault="00A34181" w:rsidP="002A6BDB">
            <w:pPr>
              <w:spacing w:line="240" w:lineRule="auto"/>
              <w:jc w:val="right"/>
              <w:rPr>
                <w:sz w:val="14"/>
                <w:szCs w:val="22"/>
                <w:rFonts w:cs="Arial"/>
              </w:rPr>
            </w:pPr>
            <w:r>
              <w:rPr>
                <w:sz w:val="14"/>
              </w:rPr>
              <w:t xml:space="preserve">544.045,90</w:t>
            </w:r>
          </w:p>
        </w:tc>
        <w:tc>
          <w:tcPr>
            <w:tcW w:w="104" w:type="pct"/>
            <w:vMerge/>
            <w:shd w:val="clear" w:color="auto" w:fill="auto"/>
            <w:noWrap/>
            <w:vAlign w:val="bottom"/>
          </w:tcPr>
          <w:p w14:paraId="5E08857B"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07F59614" w14:textId="77777777" w:rsidR="00A34181" w:rsidRPr="00A34181" w:rsidRDefault="00A34181" w:rsidP="002A6BDB">
            <w:pPr>
              <w:spacing w:line="240" w:lineRule="auto"/>
              <w:jc w:val="right"/>
              <w:rPr>
                <w:sz w:val="14"/>
                <w:szCs w:val="22"/>
                <w:rFonts w:cs="Arial"/>
              </w:rPr>
            </w:pPr>
            <w:r>
              <w:rPr>
                <w:sz w:val="14"/>
              </w:rPr>
              <w:t xml:space="preserve">1.246.818,85</w:t>
            </w:r>
          </w:p>
        </w:tc>
      </w:tr>
      <w:tr w:rsidR="00A34181" w:rsidRPr="00A34181" w14:paraId="420A3B3D" w14:textId="77777777" w:rsidTr="00A34181">
        <w:trPr>
          <w:trHeight w:val="288"/>
        </w:trPr>
        <w:tc>
          <w:tcPr>
            <w:tcW w:w="1470" w:type="pct"/>
            <w:shd w:val="clear" w:color="auto" w:fill="auto"/>
            <w:noWrap/>
            <w:vAlign w:val="bottom"/>
          </w:tcPr>
          <w:p w14:paraId="4054FE1D" w14:textId="77777777" w:rsidR="00A34181" w:rsidRPr="00A34181" w:rsidRDefault="00A34181" w:rsidP="00A34181">
            <w:pPr>
              <w:spacing w:line="240" w:lineRule="auto"/>
              <w:jc w:val="right"/>
              <w:rPr>
                <w:b/>
                <w:sz w:val="14"/>
                <w:szCs w:val="22"/>
                <w:rFonts w:cs="Arial"/>
              </w:rPr>
            </w:pPr>
            <w:r>
              <w:rPr>
                <w:b/>
                <w:sz w:val="14"/>
              </w:rPr>
              <w:t xml:space="preserve">Sartu diren kredituak</w:t>
            </w:r>
          </w:p>
        </w:tc>
        <w:tc>
          <w:tcPr>
            <w:tcW w:w="621" w:type="pct"/>
            <w:shd w:val="clear" w:color="auto" w:fill="auto"/>
            <w:noWrap/>
            <w:vAlign w:val="bottom"/>
          </w:tcPr>
          <w:p w14:paraId="17A581F8" w14:textId="77777777" w:rsidR="00A34181" w:rsidRPr="00A34181" w:rsidRDefault="00A34181" w:rsidP="002A6BDB">
            <w:pPr>
              <w:spacing w:line="240" w:lineRule="auto"/>
              <w:jc w:val="right"/>
              <w:rPr>
                <w:sz w:val="14"/>
                <w:szCs w:val="22"/>
                <w:rFonts w:cs="Arial"/>
              </w:rPr>
            </w:pPr>
            <w:r>
              <w:rPr>
                <w:sz w:val="14"/>
              </w:rPr>
              <w:t xml:space="preserve">-236.446,47</w:t>
            </w:r>
          </w:p>
        </w:tc>
        <w:tc>
          <w:tcPr>
            <w:tcW w:w="104" w:type="pct"/>
            <w:vMerge/>
            <w:shd w:val="clear" w:color="auto" w:fill="auto"/>
            <w:noWrap/>
            <w:vAlign w:val="bottom"/>
          </w:tcPr>
          <w:p w14:paraId="4377BBFE" w14:textId="77777777" w:rsidR="00A34181" w:rsidRPr="00A34181" w:rsidRDefault="00A34181" w:rsidP="002A6BDB">
            <w:pPr>
              <w:spacing w:line="240" w:lineRule="auto"/>
              <w:jc w:val="right"/>
              <w:rPr>
                <w:rFonts w:cs="Arial"/>
                <w:sz w:val="14"/>
                <w:szCs w:val="22"/>
              </w:rPr>
            </w:pPr>
          </w:p>
        </w:tc>
        <w:tc>
          <w:tcPr>
            <w:tcW w:w="621" w:type="pct"/>
            <w:shd w:val="clear" w:color="auto" w:fill="auto"/>
            <w:noWrap/>
            <w:vAlign w:val="bottom"/>
          </w:tcPr>
          <w:p w14:paraId="6373E240"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6FBBAF6D"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0E45E44F" w14:textId="77777777" w:rsidR="00A34181" w:rsidRPr="00A34181" w:rsidRDefault="00A34181" w:rsidP="002A6BDB">
            <w:pPr>
              <w:spacing w:line="240" w:lineRule="auto"/>
              <w:rPr>
                <w:rFonts w:cs="Arial"/>
                <w:sz w:val="14"/>
                <w:szCs w:val="22"/>
              </w:rPr>
            </w:pPr>
          </w:p>
        </w:tc>
        <w:tc>
          <w:tcPr>
            <w:tcW w:w="112" w:type="pct"/>
            <w:vMerge/>
            <w:shd w:val="clear" w:color="auto" w:fill="auto"/>
            <w:noWrap/>
            <w:vAlign w:val="bottom"/>
          </w:tcPr>
          <w:p w14:paraId="2A5459FB"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010CBD44"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60C58D54"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15CBAF21" w14:textId="77777777" w:rsidR="00A34181" w:rsidRPr="00A34181" w:rsidRDefault="00A34181" w:rsidP="002A6BDB">
            <w:pPr>
              <w:spacing w:line="240" w:lineRule="auto"/>
              <w:rPr>
                <w:rFonts w:cs="Arial"/>
                <w:sz w:val="14"/>
                <w:szCs w:val="22"/>
              </w:rPr>
            </w:pPr>
          </w:p>
        </w:tc>
      </w:tr>
      <w:tr w:rsidR="00A34181" w:rsidRPr="00A34181" w14:paraId="42626270" w14:textId="77777777" w:rsidTr="00A34181">
        <w:trPr>
          <w:trHeight w:val="288"/>
        </w:trPr>
        <w:tc>
          <w:tcPr>
            <w:tcW w:w="1470" w:type="pct"/>
            <w:shd w:val="clear" w:color="auto" w:fill="auto"/>
            <w:noWrap/>
            <w:vAlign w:val="bottom"/>
          </w:tcPr>
          <w:p w14:paraId="1D8F5A1F" w14:textId="77777777" w:rsidR="00A34181" w:rsidRPr="00A34181" w:rsidRDefault="00A34181" w:rsidP="00A34181">
            <w:pPr>
              <w:spacing w:line="240" w:lineRule="auto"/>
              <w:jc w:val="right"/>
              <w:rPr>
                <w:b/>
                <w:sz w:val="14"/>
                <w:szCs w:val="22"/>
                <w:rFonts w:cs="Arial"/>
              </w:rPr>
            </w:pPr>
            <w:r>
              <w:rPr>
                <w:b/>
                <w:sz w:val="14"/>
              </w:rPr>
              <w:t xml:space="preserve">Justifikatzeke dauden kredituak (epea zehazteke)</w:t>
            </w:r>
          </w:p>
        </w:tc>
        <w:tc>
          <w:tcPr>
            <w:tcW w:w="621" w:type="pct"/>
            <w:shd w:val="clear" w:color="auto" w:fill="auto"/>
            <w:noWrap/>
            <w:vAlign w:val="bottom"/>
          </w:tcPr>
          <w:p w14:paraId="1F810B44"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3499E56E"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0F036982"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10F34AB7"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60860194" w14:textId="77777777" w:rsidR="00A34181" w:rsidRPr="00A34181" w:rsidRDefault="00A34181" w:rsidP="002A6BDB">
            <w:pPr>
              <w:spacing w:line="240" w:lineRule="auto"/>
              <w:rPr>
                <w:rFonts w:cs="Arial"/>
                <w:sz w:val="14"/>
                <w:szCs w:val="22"/>
              </w:rPr>
            </w:pPr>
          </w:p>
        </w:tc>
        <w:tc>
          <w:tcPr>
            <w:tcW w:w="112" w:type="pct"/>
            <w:vMerge/>
            <w:shd w:val="clear" w:color="auto" w:fill="auto"/>
            <w:noWrap/>
            <w:vAlign w:val="bottom"/>
          </w:tcPr>
          <w:p w14:paraId="0FF78653"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25E8E5C9" w14:textId="77777777" w:rsidR="00A34181" w:rsidRPr="00A34181" w:rsidRDefault="00A34181" w:rsidP="002A6BDB">
            <w:pPr>
              <w:spacing w:line="240" w:lineRule="auto"/>
              <w:rPr>
                <w:rFonts w:cs="Arial"/>
                <w:sz w:val="14"/>
                <w:szCs w:val="22"/>
              </w:rPr>
            </w:pPr>
          </w:p>
        </w:tc>
        <w:tc>
          <w:tcPr>
            <w:tcW w:w="104" w:type="pct"/>
            <w:vMerge/>
            <w:shd w:val="clear" w:color="auto" w:fill="auto"/>
            <w:noWrap/>
            <w:vAlign w:val="bottom"/>
          </w:tcPr>
          <w:p w14:paraId="72C41C5E" w14:textId="77777777" w:rsidR="00A34181" w:rsidRPr="00A34181" w:rsidRDefault="00A34181" w:rsidP="002A6BDB">
            <w:pPr>
              <w:spacing w:line="240" w:lineRule="auto"/>
              <w:rPr>
                <w:rFonts w:cs="Arial"/>
                <w:sz w:val="14"/>
                <w:szCs w:val="22"/>
              </w:rPr>
            </w:pPr>
          </w:p>
        </w:tc>
        <w:tc>
          <w:tcPr>
            <w:tcW w:w="621" w:type="pct"/>
            <w:shd w:val="clear" w:color="auto" w:fill="auto"/>
            <w:noWrap/>
            <w:vAlign w:val="bottom"/>
          </w:tcPr>
          <w:p w14:paraId="688145DF" w14:textId="77777777" w:rsidR="00A34181" w:rsidRPr="00A34181" w:rsidRDefault="00A34181" w:rsidP="002A6BDB">
            <w:pPr>
              <w:spacing w:line="240" w:lineRule="auto"/>
              <w:jc w:val="right"/>
              <w:rPr>
                <w:sz w:val="14"/>
                <w:szCs w:val="22"/>
                <w:rFonts w:cs="Arial"/>
              </w:rPr>
            </w:pPr>
            <w:r>
              <w:rPr>
                <w:sz w:val="14"/>
              </w:rPr>
              <w:t xml:space="preserve">1.495.702,10</w:t>
            </w:r>
          </w:p>
        </w:tc>
      </w:tr>
      <w:tr w:rsidR="00A34181" w:rsidRPr="00A34181" w14:paraId="3DAE2729" w14:textId="77777777" w:rsidTr="00A34181">
        <w:trPr>
          <w:trHeight w:val="288"/>
        </w:trPr>
        <w:tc>
          <w:tcPr>
            <w:tcW w:w="1470" w:type="pct"/>
            <w:shd w:val="clear" w:color="auto" w:fill="auto"/>
            <w:noWrap/>
            <w:vAlign w:val="bottom"/>
          </w:tcPr>
          <w:p w14:paraId="53674824" w14:textId="77777777" w:rsidR="00A34181" w:rsidRPr="00A34181" w:rsidRDefault="00A34181" w:rsidP="002A6BDB">
            <w:pPr>
              <w:spacing w:line="240" w:lineRule="auto"/>
              <w:rPr>
                <w:b/>
                <w:bCs/>
                <w:sz w:val="14"/>
                <w:szCs w:val="22"/>
                <w:rFonts w:cs="Calibri"/>
              </w:rPr>
            </w:pPr>
            <w:r>
              <w:rPr>
                <w:b/>
                <w:sz w:val="16"/>
              </w:rPr>
              <w:t xml:space="preserve">SALDOA</w:t>
            </w:r>
          </w:p>
        </w:tc>
        <w:tc>
          <w:tcPr>
            <w:tcW w:w="621" w:type="pct"/>
            <w:shd w:val="clear" w:color="auto" w:fill="auto"/>
            <w:noWrap/>
            <w:vAlign w:val="bottom"/>
          </w:tcPr>
          <w:p w14:paraId="3C4764AB" w14:textId="77777777" w:rsidR="00A34181" w:rsidRPr="00A34181" w:rsidRDefault="00A34181" w:rsidP="002A6BDB">
            <w:pPr>
              <w:spacing w:line="240" w:lineRule="auto"/>
              <w:jc w:val="right"/>
              <w:rPr>
                <w:b/>
                <w:bCs/>
                <w:sz w:val="16"/>
                <w:szCs w:val="22"/>
                <w:rFonts w:cs="Calibri"/>
              </w:rPr>
            </w:pPr>
            <w:r>
              <w:rPr>
                <w:b/>
                <w:sz w:val="16"/>
              </w:rPr>
              <w:t xml:space="preserve">0,00</w:t>
            </w:r>
          </w:p>
        </w:tc>
        <w:tc>
          <w:tcPr>
            <w:tcW w:w="104" w:type="pct"/>
            <w:vMerge/>
            <w:shd w:val="clear" w:color="auto" w:fill="auto"/>
            <w:noWrap/>
            <w:vAlign w:val="bottom"/>
          </w:tcPr>
          <w:p w14:paraId="19EDDAED" w14:textId="77777777" w:rsidR="00A34181" w:rsidRPr="00A34181" w:rsidRDefault="00A34181" w:rsidP="002A6BDB">
            <w:pPr>
              <w:spacing w:line="240" w:lineRule="auto"/>
              <w:jc w:val="right"/>
              <w:rPr>
                <w:rFonts w:cs="Calibri"/>
                <w:b/>
                <w:bCs/>
                <w:sz w:val="16"/>
                <w:szCs w:val="22"/>
              </w:rPr>
            </w:pPr>
          </w:p>
        </w:tc>
        <w:tc>
          <w:tcPr>
            <w:tcW w:w="621" w:type="pct"/>
            <w:shd w:val="clear" w:color="auto" w:fill="auto"/>
            <w:noWrap/>
            <w:vAlign w:val="bottom"/>
          </w:tcPr>
          <w:p w14:paraId="54F471AA" w14:textId="77777777" w:rsidR="00A34181" w:rsidRPr="00A34181" w:rsidRDefault="00A34181" w:rsidP="002A6BDB">
            <w:pPr>
              <w:spacing w:line="240" w:lineRule="auto"/>
              <w:jc w:val="right"/>
              <w:rPr>
                <w:b/>
                <w:bCs/>
                <w:sz w:val="16"/>
                <w:szCs w:val="22"/>
                <w:rFonts w:cs="Calibri"/>
              </w:rPr>
            </w:pPr>
            <w:r>
              <w:rPr>
                <w:b/>
                <w:sz w:val="16"/>
              </w:rPr>
              <w:t xml:space="preserve">1.124.133,69</w:t>
            </w:r>
          </w:p>
        </w:tc>
        <w:tc>
          <w:tcPr>
            <w:tcW w:w="104" w:type="pct"/>
            <w:vMerge/>
            <w:shd w:val="clear" w:color="auto" w:fill="auto"/>
            <w:noWrap/>
            <w:vAlign w:val="bottom"/>
          </w:tcPr>
          <w:p w14:paraId="40B9701B" w14:textId="77777777" w:rsidR="00A34181" w:rsidRPr="00A34181" w:rsidRDefault="00A34181" w:rsidP="002A6BDB">
            <w:pPr>
              <w:spacing w:line="240" w:lineRule="auto"/>
              <w:jc w:val="right"/>
              <w:rPr>
                <w:rFonts w:cs="Calibri"/>
                <w:b/>
                <w:bCs/>
                <w:sz w:val="16"/>
                <w:szCs w:val="22"/>
              </w:rPr>
            </w:pPr>
          </w:p>
        </w:tc>
        <w:tc>
          <w:tcPr>
            <w:tcW w:w="621" w:type="pct"/>
            <w:shd w:val="clear" w:color="auto" w:fill="auto"/>
            <w:noWrap/>
            <w:vAlign w:val="bottom"/>
          </w:tcPr>
          <w:p w14:paraId="250EA47C" w14:textId="77777777" w:rsidR="00A34181" w:rsidRPr="00A34181" w:rsidRDefault="00A34181" w:rsidP="002A6BDB">
            <w:pPr>
              <w:spacing w:line="240" w:lineRule="auto"/>
              <w:jc w:val="right"/>
              <w:rPr>
                <w:b/>
                <w:bCs/>
                <w:sz w:val="16"/>
                <w:szCs w:val="22"/>
                <w:rFonts w:cs="Calibri"/>
              </w:rPr>
            </w:pPr>
            <w:r>
              <w:rPr>
                <w:b/>
                <w:sz w:val="16"/>
              </w:rPr>
              <w:t xml:space="preserve">1.525.133,53</w:t>
            </w:r>
          </w:p>
        </w:tc>
        <w:tc>
          <w:tcPr>
            <w:tcW w:w="112" w:type="pct"/>
            <w:vMerge/>
            <w:shd w:val="clear" w:color="auto" w:fill="auto"/>
            <w:noWrap/>
            <w:vAlign w:val="bottom"/>
          </w:tcPr>
          <w:p w14:paraId="3DC8F95F" w14:textId="77777777" w:rsidR="00A34181" w:rsidRPr="00A34181" w:rsidRDefault="00A34181" w:rsidP="002A6BDB">
            <w:pPr>
              <w:spacing w:line="240" w:lineRule="auto"/>
              <w:jc w:val="right"/>
              <w:rPr>
                <w:rFonts w:cs="Calibri"/>
                <w:b/>
                <w:bCs/>
                <w:sz w:val="16"/>
                <w:szCs w:val="22"/>
              </w:rPr>
            </w:pPr>
          </w:p>
        </w:tc>
        <w:tc>
          <w:tcPr>
            <w:tcW w:w="621" w:type="pct"/>
            <w:shd w:val="clear" w:color="auto" w:fill="auto"/>
            <w:noWrap/>
            <w:vAlign w:val="bottom"/>
          </w:tcPr>
          <w:p w14:paraId="6213808F" w14:textId="77777777" w:rsidR="00A34181" w:rsidRPr="00A34181" w:rsidRDefault="00A34181" w:rsidP="002A6BDB">
            <w:pPr>
              <w:spacing w:line="240" w:lineRule="auto"/>
              <w:jc w:val="right"/>
              <w:rPr>
                <w:b/>
                <w:bCs/>
                <w:sz w:val="16"/>
                <w:szCs w:val="22"/>
                <w:rFonts w:cs="Calibri"/>
              </w:rPr>
            </w:pPr>
            <w:r>
              <w:rPr>
                <w:b/>
                <w:sz w:val="16"/>
              </w:rPr>
              <w:t xml:space="preserve">2.069.179,43</w:t>
            </w:r>
          </w:p>
        </w:tc>
        <w:tc>
          <w:tcPr>
            <w:tcW w:w="104" w:type="pct"/>
            <w:vMerge/>
            <w:shd w:val="clear" w:color="auto" w:fill="auto"/>
            <w:noWrap/>
            <w:vAlign w:val="bottom"/>
          </w:tcPr>
          <w:p w14:paraId="2137DFFE" w14:textId="77777777" w:rsidR="00A34181" w:rsidRPr="00A34181" w:rsidRDefault="00A34181" w:rsidP="002A6BDB">
            <w:pPr>
              <w:spacing w:line="240" w:lineRule="auto"/>
              <w:jc w:val="right"/>
              <w:rPr>
                <w:rFonts w:cs="Calibri"/>
                <w:b/>
                <w:bCs/>
                <w:sz w:val="16"/>
                <w:szCs w:val="22"/>
              </w:rPr>
            </w:pPr>
          </w:p>
        </w:tc>
        <w:tc>
          <w:tcPr>
            <w:tcW w:w="621" w:type="pct"/>
            <w:shd w:val="clear" w:color="auto" w:fill="auto"/>
            <w:noWrap/>
            <w:vAlign w:val="bottom"/>
          </w:tcPr>
          <w:p w14:paraId="7798D848" w14:textId="77777777" w:rsidR="00A34181" w:rsidRPr="00A34181" w:rsidRDefault="00A34181" w:rsidP="002A6BDB">
            <w:pPr>
              <w:spacing w:line="240" w:lineRule="auto"/>
              <w:jc w:val="right"/>
              <w:rPr>
                <w:b/>
                <w:bCs/>
                <w:sz w:val="16"/>
                <w:szCs w:val="22"/>
                <w:rFonts w:cs="Calibri"/>
              </w:rPr>
            </w:pPr>
            <w:r>
              <w:rPr>
                <w:b/>
                <w:sz w:val="16"/>
              </w:rPr>
              <w:t xml:space="preserve">1.820.296,18</w:t>
            </w:r>
          </w:p>
        </w:tc>
      </w:tr>
    </w:tbl>
    <w:p w14:paraId="52AAC4A4" w14:textId="77777777" w:rsidR="009E53FB" w:rsidRDefault="009E53FB" w:rsidP="00711C11">
      <w:pPr>
        <w:spacing w:line="240" w:lineRule="auto"/>
        <w:rPr>
          <w:rFonts w:cs="Arial"/>
          <w:color w:val="0070C0"/>
          <w:sz w:val="22"/>
          <w:szCs w:val="22"/>
        </w:rPr>
      </w:pPr>
    </w:p>
    <w:p w14:paraId="3863356A" w14:textId="77777777" w:rsidR="009E53FB" w:rsidRDefault="00711C11" w:rsidP="00711C11">
      <w:pPr>
        <w:rPr>
          <w:i/>
          <w:sz w:val="22"/>
          <w:szCs w:val="22"/>
          <w:rFonts w:cs="Arial"/>
        </w:rPr>
      </w:pPr>
      <w:r>
        <w:rPr>
          <w:i/>
          <w:sz w:val="22"/>
          <w:b/>
        </w:rPr>
        <w:t xml:space="preserve">4. Galdera</w:t>
      </w:r>
      <w:r>
        <w:rPr>
          <w:i/>
          <w:sz w:val="22"/>
        </w:rPr>
        <w:t xml:space="preserve">- Hondakinen Funtsak zer zenbateko dauka metatuta eta gastatu gabe guztira 2023ko ekainaren 30era bitarte?</w:t>
      </w:r>
    </w:p>
    <w:p w14:paraId="3F155BBD" w14:textId="77777777" w:rsidR="009E53FB" w:rsidRDefault="00A34181" w:rsidP="00A34181">
      <w:pPr>
        <w:pStyle w:val="Textoindependiente"/>
        <w:ind w:firstLine="708"/>
        <w:rPr>
          <w:sz w:val="22"/>
          <w:szCs w:val="22"/>
        </w:rPr>
      </w:pPr>
      <w:r>
        <w:rPr>
          <w:sz w:val="22"/>
        </w:rPr>
        <w:t xml:space="preserve">Hondakinen Funtsa arautzen duen uztailaren 15eko 49/2020 Foru Dekretuaren arabera, Hondakinen Funtsa bereizita integratzen da ingurumen alorrean eskumenak dituen departamentuaren aurrekontuan, eta aurrekontu ekitaldi bakoitzean Hondakinei eta haien Fiskalitateari buruzko ekainaren 18ko 14/2018 Foru Legearen 42. artikuluaren 3. apartatuan aipatutako baliabideetatik sortutako diru kopuruek edo bildutako diru kopuru errealek osatuko dute, honako aldi hauetakoek, hain zuzen ere:</w:t>
      </w:r>
    </w:p>
    <w:p w14:paraId="6FC13371" w14:textId="7C46B186" w:rsidR="009E53FB" w:rsidRDefault="00A34181" w:rsidP="00A34181">
      <w:pPr>
        <w:pStyle w:val="Textoindependiente"/>
        <w:ind w:firstLine="708"/>
        <w:rPr>
          <w:sz w:val="22"/>
          <w:szCs w:val="22"/>
        </w:rPr>
      </w:pPr>
      <w:r>
        <w:rPr>
          <w:sz w:val="22"/>
        </w:rPr>
        <w:t xml:space="preserve">a) Aurreko urteko lehenengo seihilekoa.</w:t>
      </w:r>
    </w:p>
    <w:p w14:paraId="52AEE578" w14:textId="77777777" w:rsidR="009E53FB" w:rsidRDefault="00A34181" w:rsidP="00A34181">
      <w:pPr>
        <w:pStyle w:val="Textoindependiente"/>
        <w:spacing w:line="360" w:lineRule="auto"/>
        <w:ind w:firstLine="708"/>
        <w:rPr>
          <w:sz w:val="22"/>
          <w:szCs w:val="22"/>
        </w:rPr>
      </w:pPr>
      <w:r>
        <w:rPr>
          <w:sz w:val="22"/>
        </w:rPr>
        <w:t xml:space="preserve">b) a) apartatuan adierazitakoaren aurreko urtearen bigarren seihilekoa.</w:t>
      </w:r>
    </w:p>
    <w:p w14:paraId="6EC1BCF3" w14:textId="77777777" w:rsidR="009E53FB" w:rsidRDefault="00A34181" w:rsidP="00711C11">
      <w:pPr>
        <w:pStyle w:val="Textoindependiente"/>
        <w:spacing w:line="360" w:lineRule="auto"/>
        <w:ind w:firstLine="708"/>
        <w:rPr>
          <w:sz w:val="22"/>
          <w:szCs w:val="22"/>
          <w:rFonts w:cs="Arial"/>
        </w:rPr>
      </w:pPr>
      <w:r>
        <w:rPr>
          <w:sz w:val="22"/>
        </w:rPr>
        <w:t xml:space="preserve">Aurrekoarekin bat etorriz, Landa Garapeneko eta Ingurumeneko kontseilaria.ren abenduaren 16ko 298E/2022 Foru Aginduaren bidez, 2023ko Hondakinen Funtsaren banaketa onetsi zen. Funts hori 5.230.512 eurokoa da, zabortegian ezabatzearen eta hondakinen errausketaren gaineko zergatik eratorria, eta 62.579 euroko diru sarrerak ditu, Nafarroako Foru Komunitateko Administrazioak hondakinen arloko arau-hausteak egiteagatik ezarritako isunen ondoriozkoak.</w:t>
      </w:r>
    </w:p>
    <w:p w14:paraId="128F4BAE" w14:textId="77777777" w:rsidR="009E53FB" w:rsidRDefault="00A34181" w:rsidP="00711C11">
      <w:pPr>
        <w:pStyle w:val="Textoindependiente"/>
        <w:spacing w:line="360" w:lineRule="auto"/>
        <w:ind w:firstLine="708"/>
        <w:rPr>
          <w:sz w:val="22"/>
          <w:szCs w:val="22"/>
          <w:rFonts w:cs="Arial"/>
        </w:rPr>
      </w:pPr>
      <w:r>
        <w:rPr>
          <w:sz w:val="22"/>
        </w:rPr>
        <w:t xml:space="preserve">Zenbateko horiek honela banatu dira:</w:t>
      </w:r>
    </w:p>
    <w:p w14:paraId="3171B8FD" w14:textId="197AAEC4" w:rsidR="00A34181" w:rsidRDefault="00A34181" w:rsidP="00A34181">
      <w:pPr>
        <w:pStyle w:val="Textoindependiente"/>
        <w:numPr>
          <w:ilvl w:val="0"/>
          <w:numId w:val="18"/>
        </w:numPr>
        <w:spacing w:line="360" w:lineRule="auto"/>
        <w:rPr>
          <w:sz w:val="22"/>
          <w:szCs w:val="22"/>
          <w:rFonts w:cs="Arial"/>
        </w:rPr>
      </w:pPr>
      <w:r>
        <w:rPr>
          <w:sz w:val="22"/>
        </w:rPr>
        <w:t xml:space="preserve">2.660.000 euro etxeko hondakinak biltzeko, garraiatzeko edo kudeatzeko eskumena duten eta kontzeptu horrengatik zergak ordaindu dituzten toki erakundeei dirulaguntzak emateko.</w:t>
      </w:r>
    </w:p>
    <w:p w14:paraId="72D29946" w14:textId="77777777" w:rsidR="00A34181" w:rsidRDefault="00A34181" w:rsidP="00A34181">
      <w:pPr>
        <w:pStyle w:val="Textoindependiente"/>
        <w:numPr>
          <w:ilvl w:val="0"/>
          <w:numId w:val="18"/>
        </w:numPr>
        <w:spacing w:line="360" w:lineRule="auto"/>
        <w:rPr>
          <w:sz w:val="22"/>
          <w:szCs w:val="22"/>
          <w:rFonts w:cs="Arial"/>
        </w:rPr>
      </w:pPr>
      <w:r>
        <w:rPr>
          <w:sz w:val="22"/>
        </w:rPr>
        <w:t xml:space="preserve">1.345.000 euro, enpresei dirulaguntzak emateko, 2023an edo 2024an industria hondakinak prebenitzeko, berrerabiltzeko prestatzeko eta birziklatzeko proiektuak egin ditzaten.</w:t>
      </w:r>
    </w:p>
    <w:p w14:paraId="144F0AB1" w14:textId="77777777" w:rsidR="00A34181" w:rsidRDefault="00A34181" w:rsidP="00A34181">
      <w:pPr>
        <w:pStyle w:val="Textoindependiente"/>
        <w:numPr>
          <w:ilvl w:val="0"/>
          <w:numId w:val="18"/>
        </w:numPr>
        <w:spacing w:line="360" w:lineRule="auto"/>
        <w:rPr>
          <w:sz w:val="22"/>
          <w:szCs w:val="22"/>
          <w:rFonts w:cs="Arial"/>
        </w:rPr>
      </w:pPr>
      <w:r>
        <w:rPr>
          <w:sz w:val="22"/>
        </w:rPr>
        <w:t xml:space="preserve">937.000 euro, enpresei, unibertsitateei eta tokiko erakundeei dirulaguntzak emateko, eraikuntza eta eraispen hondakinen birziklapen eta balorizazio sistemak optimizatzeko eta hobetzeko, eta 2023, 2024 eta/edo 2025ean zehar garatuko diren hondeatutako material naturalen balorazio materiala egiteko.</w:t>
      </w:r>
    </w:p>
    <w:p w14:paraId="45F53628" w14:textId="77777777" w:rsidR="009E53FB" w:rsidRDefault="00A34181" w:rsidP="00A34181">
      <w:pPr>
        <w:pStyle w:val="Textoindependiente"/>
        <w:numPr>
          <w:ilvl w:val="0"/>
          <w:numId w:val="18"/>
        </w:numPr>
        <w:spacing w:line="360" w:lineRule="auto"/>
        <w:rPr>
          <w:sz w:val="22"/>
          <w:szCs w:val="22"/>
          <w:rFonts w:cs="Arial"/>
        </w:rPr>
      </w:pPr>
      <w:r>
        <w:rPr>
          <w:sz w:val="22"/>
        </w:rPr>
        <w:t xml:space="preserve">351.091 euro 2023an eginen diren jarduketa orokorretarako eta ingurumen larrialdiko jardueretarako.</w:t>
      </w:r>
    </w:p>
    <w:p w14:paraId="73DB5D11" w14:textId="77777777" w:rsidR="009E53FB" w:rsidRDefault="00DC7E8B" w:rsidP="00711C11">
      <w:pPr>
        <w:pStyle w:val="Textoindependiente"/>
        <w:spacing w:line="360" w:lineRule="auto"/>
        <w:ind w:firstLine="708"/>
        <w:rPr>
          <w:sz w:val="22"/>
          <w:szCs w:val="22"/>
          <w:rFonts w:cs="Arial"/>
        </w:rPr>
      </w:pPr>
      <w:r>
        <w:rPr>
          <w:sz w:val="22"/>
        </w:rPr>
        <w:t xml:space="preserve">Eta aurreko horrekin bat, dirulaguntzak emateko honako deialdi hauek egin dira:</w:t>
      </w:r>
    </w:p>
    <w:p w14:paraId="247C31C5" w14:textId="2D33461F" w:rsidR="009E53FB" w:rsidRDefault="00FE1EAC" w:rsidP="00ED07FD">
      <w:pPr>
        <w:pStyle w:val="Textoindependiente"/>
        <w:numPr>
          <w:ilvl w:val="0"/>
          <w:numId w:val="18"/>
        </w:numPr>
        <w:spacing w:line="360" w:lineRule="auto"/>
        <w:rPr>
          <w:sz w:val="22"/>
          <w:szCs w:val="22"/>
          <w:rFonts w:cs="Arial"/>
        </w:rPr>
      </w:pPr>
      <w:r>
        <w:rPr>
          <w:sz w:val="22"/>
          <w:b/>
        </w:rPr>
        <w:t xml:space="preserve">2.360.000,00</w:t>
      </w:r>
      <w:r>
        <w:rPr>
          <w:sz w:val="22"/>
        </w:rPr>
        <w:t xml:space="preserve"> euro: 238E/2023 Ebazpena, martxoaren 9koa, Ingurumeneko zuzendari nagusiak emana, “2023ko Hondakinen Funtsa. Etxeko hondakinen urte anitzeko fluxua” izeneko dirulaguntzaren deialdia onesten duena.</w:t>
      </w:r>
      <w:r>
        <w:rPr>
          <w:sz w:val="22"/>
        </w:rPr>
        <w:t xml:space="preserve"> </w:t>
      </w:r>
    </w:p>
    <w:p w14:paraId="24BB2C74" w14:textId="2DC193F3" w:rsidR="009E53FB" w:rsidRDefault="00DC7E8B" w:rsidP="00DC7E8B">
      <w:pPr>
        <w:pStyle w:val="Textoindependiente"/>
        <w:numPr>
          <w:ilvl w:val="0"/>
          <w:numId w:val="18"/>
        </w:numPr>
        <w:spacing w:line="360" w:lineRule="auto"/>
        <w:rPr>
          <w:sz w:val="22"/>
          <w:szCs w:val="22"/>
          <w:rFonts w:cs="Arial"/>
        </w:rPr>
      </w:pPr>
      <w:r>
        <w:rPr>
          <w:sz w:val="22"/>
          <w:b/>
        </w:rPr>
        <w:t xml:space="preserve">1.400.000,00 euro</w:t>
      </w:r>
      <w:r>
        <w:rPr>
          <w:sz w:val="22"/>
        </w:rPr>
        <w:t xml:space="preserve">:</w:t>
      </w:r>
      <w:r>
        <w:rPr>
          <w:sz w:val="22"/>
        </w:rPr>
        <w:t xml:space="preserve"> </w:t>
      </w:r>
      <w:r>
        <w:rPr>
          <w:sz w:val="22"/>
        </w:rPr>
        <w:t xml:space="preserve">1442E/2022 Ebazpena, abenduaren 29koa, Ingurumeneko zuzendari nagusiak emana, “2023ko Hondakinen Funtsa. Arriskutsuak ez diren bestelako hondakinen urte anitzeko fluxua” izeneko dirulaguntzaren deialdia onesten duena.</w:t>
      </w:r>
      <w:r>
        <w:rPr>
          <w:sz w:val="22"/>
        </w:rPr>
        <w:t xml:space="preserve"> </w:t>
      </w:r>
      <w:r>
        <w:rPr>
          <w:sz w:val="22"/>
        </w:rPr>
        <w:t xml:space="preserve">DDBN identifikazioa:</w:t>
      </w:r>
      <w:r>
        <w:rPr>
          <w:sz w:val="22"/>
        </w:rPr>
        <w:t xml:space="preserve"> </w:t>
      </w:r>
      <w:r>
        <w:rPr>
          <w:sz w:val="22"/>
        </w:rPr>
        <w:t xml:space="preserve">668476.</w:t>
      </w:r>
      <w:r>
        <w:rPr>
          <w:sz w:val="22"/>
        </w:rPr>
        <w:t xml:space="preserve"> </w:t>
      </w:r>
    </w:p>
    <w:p w14:paraId="46DE095B" w14:textId="307C6705" w:rsidR="009E53FB" w:rsidRDefault="00DC7E8B" w:rsidP="00DC7E8B">
      <w:pPr>
        <w:pStyle w:val="Textoindependiente"/>
        <w:numPr>
          <w:ilvl w:val="0"/>
          <w:numId w:val="18"/>
        </w:numPr>
        <w:spacing w:line="360" w:lineRule="auto"/>
        <w:rPr>
          <w:sz w:val="22"/>
          <w:szCs w:val="22"/>
          <w:rFonts w:cs="Arial"/>
        </w:rPr>
      </w:pPr>
      <w:r>
        <w:rPr>
          <w:sz w:val="22"/>
          <w:b/>
        </w:rPr>
        <w:t xml:space="preserve">310.000 euro:</w:t>
      </w:r>
      <w:r>
        <w:rPr>
          <w:sz w:val="22"/>
        </w:rPr>
        <w:t xml:space="preserve"> </w:t>
      </w:r>
      <w:r>
        <w:rPr>
          <w:sz w:val="22"/>
        </w:rPr>
        <w:t xml:space="preserve">408E/2023 Ebazpena, maiatzaren 8koa, Ingurumeneko zuzendari nagusiak emana, “2023ko Hondakinen Funtseko urteko dirulaguntza Nafarroako Unibertsitateentzat. Eraikuntza eta eraisteetan sortutako hondakinen fluxua eta hondeatutako material naturalak” izeneko dirulaguntzaren deialdia onesten duena.</w:t>
      </w:r>
      <w:r>
        <w:rPr>
          <w:sz w:val="22"/>
        </w:rPr>
        <w:t xml:space="preserve"> </w:t>
      </w:r>
      <w:r>
        <w:rPr>
          <w:sz w:val="22"/>
        </w:rPr>
        <w:t xml:space="preserve">DDBN identifikazioa:</w:t>
      </w:r>
      <w:r>
        <w:rPr>
          <w:sz w:val="22"/>
        </w:rPr>
        <w:t xml:space="preserve"> </w:t>
      </w:r>
      <w:r>
        <w:rPr>
          <w:sz w:val="22"/>
        </w:rPr>
        <w:t xml:space="preserve">693195.</w:t>
      </w:r>
    </w:p>
    <w:p w14:paraId="28A697F2" w14:textId="30356D9C" w:rsidR="009E53FB" w:rsidRDefault="00FE1EAC" w:rsidP="00FE1EAC">
      <w:pPr>
        <w:pStyle w:val="Textoindependiente"/>
        <w:numPr>
          <w:ilvl w:val="0"/>
          <w:numId w:val="18"/>
        </w:numPr>
        <w:spacing w:line="360" w:lineRule="auto"/>
        <w:rPr>
          <w:sz w:val="22"/>
          <w:szCs w:val="22"/>
          <w:rFonts w:cs="Arial"/>
        </w:rPr>
      </w:pPr>
      <w:r>
        <w:rPr>
          <w:sz w:val="22"/>
          <w:b/>
        </w:rPr>
        <w:t xml:space="preserve">500.000 euro:</w:t>
      </w:r>
      <w:r>
        <w:rPr>
          <w:sz w:val="22"/>
        </w:rPr>
        <w:t xml:space="preserve"> </w:t>
      </w:r>
      <w:r>
        <w:rPr>
          <w:sz w:val="22"/>
        </w:rPr>
        <w:t xml:space="preserve">245E/2022 Ebazpena, martxoaren 28koa, Ingurumeneko zuzendari nagusiak emana, “Enpresa pribatuetan hondakinak MITERD funtsekin kudeatzeko dirulaguntza” izeneko dirulaguntzaren deialdia onesten duena.</w:t>
      </w:r>
      <w:r>
        <w:rPr>
          <w:sz w:val="22"/>
        </w:rPr>
        <w:t xml:space="preserve"> </w:t>
      </w:r>
      <w:r>
        <w:rPr>
          <w:sz w:val="22"/>
        </w:rPr>
        <w:t xml:space="preserve">DDBN identifikazioa:</w:t>
      </w:r>
      <w:r>
        <w:rPr>
          <w:sz w:val="22"/>
        </w:rPr>
        <w:t xml:space="preserve"> </w:t>
      </w:r>
      <w:r>
        <w:rPr>
          <w:sz w:val="22"/>
        </w:rPr>
        <w:t xml:space="preserve">617692.</w:t>
      </w:r>
    </w:p>
    <w:p w14:paraId="55E4C950" w14:textId="77777777" w:rsidR="009E53FB" w:rsidRDefault="00FE1EAC" w:rsidP="00FE1EAC">
      <w:pPr>
        <w:pStyle w:val="Textoindependiente"/>
        <w:numPr>
          <w:ilvl w:val="0"/>
          <w:numId w:val="18"/>
        </w:numPr>
        <w:spacing w:line="360" w:lineRule="auto"/>
        <w:rPr>
          <w:sz w:val="22"/>
          <w:szCs w:val="22"/>
          <w:rFonts w:cs="Arial"/>
        </w:rPr>
      </w:pPr>
      <w:r>
        <w:rPr>
          <w:sz w:val="22"/>
          <w:b/>
        </w:rPr>
        <w:t xml:space="preserve">430.000 euro:</w:t>
      </w:r>
      <w:r>
        <w:rPr>
          <w:sz w:val="22"/>
        </w:rPr>
        <w:t xml:space="preserve"> </w:t>
      </w:r>
      <w:r>
        <w:rPr>
          <w:sz w:val="22"/>
        </w:rPr>
        <w:t xml:space="preserve">1438E/2022 Ebazpena, abenduaren29koa, Ingurumeneko zuzendari nagusiak emana, “2023ko Hondakinen Funtseko urteko dirulaguntza enpresentzat. Eraikuntza eta eraisteetan sortutako hondakinen fluxua eta hondeatutako material naturalak” izeneko dirulaguntzaren deialdia onesten duena.</w:t>
      </w:r>
      <w:r>
        <w:rPr>
          <w:sz w:val="22"/>
        </w:rPr>
        <w:t xml:space="preserve"> </w:t>
      </w:r>
      <w:r>
        <w:rPr>
          <w:sz w:val="22"/>
        </w:rPr>
        <w:t xml:space="preserve">DDBN identifikazioa:</w:t>
      </w:r>
      <w:r>
        <w:rPr>
          <w:sz w:val="22"/>
        </w:rPr>
        <w:t xml:space="preserve"> </w:t>
      </w:r>
      <w:r>
        <w:rPr>
          <w:sz w:val="22"/>
        </w:rPr>
        <w:t xml:space="preserve">668461.</w:t>
      </w:r>
    </w:p>
    <w:p w14:paraId="08E1E4DB" w14:textId="77777777" w:rsidR="009E53FB" w:rsidRDefault="00C36C1B" w:rsidP="00711C11">
      <w:pPr>
        <w:pStyle w:val="Textoindependiente"/>
        <w:spacing w:line="360" w:lineRule="auto"/>
        <w:ind w:firstLine="708"/>
        <w:rPr>
          <w:sz w:val="22"/>
          <w:szCs w:val="22"/>
          <w:rFonts w:cs="Arial"/>
        </w:rPr>
      </w:pPr>
      <w:r>
        <w:rPr>
          <w:sz w:val="22"/>
        </w:rPr>
        <w:t xml:space="preserve">Hau da, 5.000.000 euro eman dira dirulaguntzetan.</w:t>
      </w:r>
      <w:r>
        <w:rPr>
          <w:sz w:val="22"/>
        </w:rPr>
        <w:t xml:space="preserve"> </w:t>
      </w:r>
    </w:p>
    <w:p w14:paraId="2216CBD9" w14:textId="418E3DB3" w:rsidR="009E53FB" w:rsidRDefault="00C36C1B" w:rsidP="00711C11">
      <w:pPr>
        <w:pStyle w:val="Textoindependiente"/>
        <w:spacing w:line="360" w:lineRule="auto"/>
        <w:ind w:firstLine="708"/>
        <w:rPr>
          <w:sz w:val="22"/>
          <w:szCs w:val="22"/>
          <w:rFonts w:cs="Arial"/>
        </w:rPr>
      </w:pPr>
      <w:r>
        <w:rPr>
          <w:sz w:val="22"/>
        </w:rPr>
        <w:t xml:space="preserve">2023rako Nafarroako Aurrekontu Orokorrei buruzko abenduaren 28ko 35/2022 Foru Legearen 52 artikuluari jarraikiz, honako hau gogorarazi behar da: Nafarroako Aurrekontu Orokorretan kontsignatutako gastua, Hondakinei eta haien fiskalitateari buruzko ekainaren 18ko 14/2018 Foru Legeak sortutako Hondakinen Funtsari dagokiona, kasuan kasuko ekitaldian exekutatzen ez den zatian, diruzaintzako gerakin atxikitzat joko da eta hurrengo aurrekontu-ekitaldietan txertatzen ahalko da.</w:t>
      </w:r>
    </w:p>
    <w:p w14:paraId="3F9CEC39" w14:textId="77777777" w:rsidR="009E53FB" w:rsidRDefault="00C36C1B" w:rsidP="00711C11">
      <w:pPr>
        <w:pStyle w:val="Textoindependiente"/>
        <w:spacing w:line="360" w:lineRule="auto"/>
        <w:ind w:firstLine="708"/>
        <w:rPr>
          <w:sz w:val="22"/>
          <w:szCs w:val="22"/>
          <w:rFonts w:cs="Arial"/>
        </w:rPr>
      </w:pPr>
      <w:r>
        <w:rPr>
          <w:sz w:val="22"/>
        </w:rPr>
        <w:t xml:space="preserve">Horrenbestez, gastatutako zenbatekoa azken batean diruz lagundu daitezkeen jarduketak exekutatzearen araberakoa da, hau da, diruz lagundu daitezkeen jarduerak berorien onuradunek gauzatzearen araberakoa.</w:t>
      </w:r>
    </w:p>
    <w:p w14:paraId="1D7CFE41" w14:textId="343169D1" w:rsidR="00C36C1B" w:rsidRDefault="00711C11" w:rsidP="00711C11">
      <w:pPr>
        <w:pStyle w:val="Textoindependiente"/>
        <w:spacing w:line="360" w:lineRule="auto"/>
        <w:ind w:firstLine="708"/>
        <w:rPr>
          <w:sz w:val="22"/>
          <w:szCs w:val="22"/>
          <w:rFonts w:cs="Arial"/>
        </w:rPr>
      </w:pPr>
      <w:r>
        <w:rPr>
          <w:sz w:val="22"/>
        </w:rPr>
        <w:t xml:space="preserve">Bestalde, dirulaguntza horien deialdien eraginkortasuna desberdina da fluxu bakoitzaren kasuan (etxekoak, industrialak EEHak eta HMNak).</w:t>
      </w:r>
      <w:r>
        <w:rPr>
          <w:sz w:val="22"/>
        </w:rPr>
        <w:t xml:space="preserve"> </w:t>
      </w:r>
      <w:r>
        <w:rPr>
          <w:sz w:val="22"/>
        </w:rPr>
        <w:t xml:space="preserve">Alde batetik, etxeko hondakinen fluxuan zeuden kredituen % 100 erabili da.</w:t>
      </w:r>
    </w:p>
    <w:p w14:paraId="7DCEDC6F" w14:textId="2505D743" w:rsidR="009E53FB" w:rsidRDefault="00C36C1B" w:rsidP="00C36C1B">
      <w:pPr>
        <w:pStyle w:val="Textoindependiente"/>
        <w:ind w:firstLine="708"/>
        <w:rPr>
          <w:sz w:val="22"/>
          <w:szCs w:val="22"/>
          <w:rFonts w:cs="Arial"/>
        </w:rPr>
      </w:pPr>
      <w:r>
        <w:rPr>
          <w:sz w:val="22"/>
        </w:rPr>
        <w:t xml:space="preserve">Hori horrela, Ingurumeneko zuzendari nagusiak emandako urriaren 26ko 934E/2023 Ebazpen bidez onetsita geratzen da “2023ko Hondakinen Funtsa. Etxeko hondakinen urte anitzeko fluxua” izeneko dirulaguntzaren deialdia, eta laguntza ematen zaie hamazortzi toki erakunderi, guztira 2.360.000,00 euro.</w:t>
      </w:r>
      <w:r>
        <w:rPr>
          <w:sz w:val="22"/>
        </w:rPr>
        <w:t xml:space="preserve"> </w:t>
      </w:r>
    </w:p>
    <w:p w14:paraId="7FEFCC78" w14:textId="77777777" w:rsidR="009E53FB" w:rsidRDefault="00C36C1B" w:rsidP="00711C11">
      <w:pPr>
        <w:pStyle w:val="Textoindependiente"/>
        <w:spacing w:line="360" w:lineRule="auto"/>
        <w:ind w:firstLine="708"/>
        <w:rPr>
          <w:sz w:val="22"/>
          <w:szCs w:val="22"/>
          <w:rFonts w:cs="Arial"/>
        </w:rPr>
      </w:pPr>
      <w:r>
        <w:rPr>
          <w:sz w:val="22"/>
        </w:rPr>
        <w:t xml:space="preserve">Alabaina, gauza bera ez da gertatzen hondakin industrialen, EEHen eta HMNen fluxuen kasuan; Industrialen Fluxuarekin, laguntza guztiak emateko eta ordaintzeko aukera mugatzen duen Europako minimis araudiaren mende daudelako, eta EEHen eta HMNen deialdietan ez da egon nahi izan den eskaera guztia, eta, beraz, esleitutako zenbatekoak ez dira gastatzen.</w:t>
      </w:r>
    </w:p>
    <w:p w14:paraId="3ED12772" w14:textId="77777777" w:rsidR="009E53FB" w:rsidRDefault="00711C11" w:rsidP="00711C11">
      <w:pPr>
        <w:pStyle w:val="Textoindependiente"/>
        <w:spacing w:line="360" w:lineRule="auto"/>
        <w:ind w:firstLine="708"/>
        <w:rPr>
          <w:sz w:val="22"/>
          <w:szCs w:val="22"/>
          <w:rFonts w:cs="Arial"/>
        </w:rPr>
      </w:pPr>
      <w:r>
        <w:rPr>
          <w:sz w:val="22"/>
        </w:rPr>
        <w:t xml:space="preserve">Azkenik, kontuan hartu behar da urte anitzeko dirulaguntzen funtzionamendua; izan ere, horiek gauzatzeko epea bi eta hiru urte artekoa da, eta epe horretan kredituak konprometituta daude, eta justifikazio data iritsi arte ez dakigu gastatzen diren.</w:t>
      </w:r>
      <w:r>
        <w:rPr>
          <w:sz w:val="22"/>
        </w:rPr>
        <w:t xml:space="preserve"> </w:t>
      </w:r>
    </w:p>
    <w:p w14:paraId="4A66CCC9" w14:textId="77777777" w:rsidR="009E53FB" w:rsidRDefault="00711C11" w:rsidP="00711C11">
      <w:pPr>
        <w:pStyle w:val="Textoindependiente"/>
        <w:spacing w:line="360" w:lineRule="auto"/>
        <w:ind w:firstLine="708"/>
        <w:rPr>
          <w:sz w:val="22"/>
          <w:szCs w:val="22"/>
          <w:rFonts w:cs="Arial"/>
        </w:rPr>
      </w:pPr>
      <w:r>
        <w:rPr>
          <w:sz w:val="22"/>
        </w:rPr>
        <w:t xml:space="preserve">Geratu den zenbatekoa honako taula honetan jasotzen da:</w:t>
      </w:r>
    </w:p>
    <w:p w14:paraId="7029E4B9" w14:textId="7CD31F5A" w:rsidR="00711C11" w:rsidRPr="00A34181" w:rsidRDefault="00711C11" w:rsidP="00711C11">
      <w:pPr>
        <w:spacing w:line="240" w:lineRule="auto"/>
        <w:rPr>
          <w:color w:val="0070C0"/>
          <w:sz w:val="22"/>
          <w:szCs w:val="22"/>
        </w:rPr>
      </w:pPr>
      <w:r w:rsidRPr="00A34181">
        <w:rPr>
          <w:color w:val="0070C0"/>
          <w:sz w:val="22"/>
          <w:rFonts w:cs="Arial"/>
        </w:rPr>
        <w:fldChar w:fldCharType="begin"/>
      </w:r>
      <w:r w:rsidRPr="00A34181">
        <w:rPr>
          <w:color w:val="0070C0"/>
          <w:sz w:val="22"/>
          <w:rFonts w:cs="Arial"/>
        </w:rPr>
        <w:instrText xml:space="preserve"> LINK Excel.Sheet.12 "C:\\Users\\x004746\\AppData\\Local\\Temp\\OneNote\\16.0\\NT\\6\\Balance situación Fondo Residuos final 2023 DEF3.xlsx" "FONDO!F41C4:F44C6" \a \f 5 \h  \* MERGEFORMAT </w:instrText>
      </w:r>
      <w:r w:rsidRPr="00A34181">
        <w:rPr>
          <w:color w:val="0070C0"/>
          <w:sz w:val="22"/>
          <w:rFonts w:cs="Arial"/>
        </w:rPr>
        <w:fldChar w:fldCharType="separate"/>
      </w:r>
    </w:p>
    <w:tbl>
      <w:tblPr>
        <w:tblW w:w="5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057"/>
      </w:tblGrid>
      <w:tr w:rsidR="00711C11" w:rsidRPr="00A34181" w14:paraId="531A625F" w14:textId="77777777" w:rsidTr="002A6BDB">
        <w:trPr>
          <w:trHeight w:val="288"/>
          <w:jc w:val="center"/>
        </w:trPr>
        <w:tc>
          <w:tcPr>
            <w:tcW w:w="2312" w:type="dxa"/>
            <w:shd w:val="clear" w:color="auto" w:fill="auto"/>
            <w:noWrap/>
          </w:tcPr>
          <w:p w14:paraId="123888B2" w14:textId="77777777" w:rsidR="00711C11" w:rsidRPr="00A34181" w:rsidRDefault="00711C11" w:rsidP="002A6BDB">
            <w:pPr>
              <w:rPr>
                <w:sz w:val="22"/>
                <w:rFonts w:cs="Arial"/>
              </w:rPr>
            </w:pPr>
            <w:proofErr w:type="gramStart"/>
            <w:r w:rsidRPr="00A34181">
              <w:rPr>
                <w:sz w:val="22"/>
                <w:rFonts w:cs="Arial"/>
              </w:rPr>
              <w:t xml:space="preserve">Flujo </w:t>
            </w:r>
            <w:r w:rsidR="00AA7E17">
              <w:rPr>
                <w:sz w:val="22"/>
                <w:rFonts w:cs="Arial"/>
              </w:rPr>
              <w:t>domésticos</w:t>
            </w:r>
            <w:proofErr w:type="gramEnd"/>
          </w:p>
        </w:tc>
        <w:tc>
          <w:tcPr>
            <w:tcW w:w="3057" w:type="dxa"/>
            <w:shd w:val="clear" w:color="auto" w:fill="auto"/>
            <w:noWrap/>
          </w:tcPr>
          <w:p w14:paraId="1DE0C60B" w14:textId="77777777" w:rsidR="00711C11" w:rsidRPr="00A34181" w:rsidRDefault="00711C11" w:rsidP="002A6BDB">
            <w:pPr>
              <w:rPr>
                <w:sz w:val="22"/>
                <w:rFonts w:cs="Arial"/>
              </w:rPr>
            </w:pPr>
            <w:r w:rsidRPr="00A34181">
              <w:rPr>
                <w:sz w:val="22"/>
                <w:rFonts w:cs="Arial"/>
              </w:rPr>
              <w:t>913.106,36</w:t>
            </w:r>
          </w:p>
        </w:tc>
      </w:tr>
      <w:tr w:rsidR="00711C11" w:rsidRPr="00A34181" w14:paraId="3246A1C2" w14:textId="77777777" w:rsidTr="002A6BDB">
        <w:trPr>
          <w:trHeight w:val="288"/>
          <w:jc w:val="center"/>
        </w:trPr>
        <w:tc>
          <w:tcPr>
            <w:tcW w:w="2312" w:type="dxa"/>
            <w:shd w:val="clear" w:color="auto" w:fill="auto"/>
            <w:noWrap/>
          </w:tcPr>
          <w:p w14:paraId="363CB034" w14:textId="77777777" w:rsidR="00711C11" w:rsidRPr="00A34181" w:rsidRDefault="00AA7E17" w:rsidP="002A6BDB">
            <w:pPr>
              <w:rPr>
                <w:sz w:val="22"/>
                <w:rFonts w:cs="Arial"/>
              </w:rPr>
            </w:pPr>
            <w:proofErr w:type="gramStart"/>
            <w:r>
              <w:rPr>
                <w:sz w:val="22"/>
                <w:rFonts w:cs="Arial"/>
              </w:rPr>
              <w:t>Flujo industriales</w:t>
            </w:r>
            <w:proofErr w:type="gramEnd"/>
          </w:p>
        </w:tc>
        <w:tc>
          <w:tcPr>
            <w:tcW w:w="3057" w:type="dxa"/>
            <w:shd w:val="clear" w:color="auto" w:fill="auto"/>
            <w:noWrap/>
          </w:tcPr>
          <w:p w14:paraId="51407EA0" w14:textId="77777777" w:rsidR="00711C11" w:rsidRPr="00A34181" w:rsidRDefault="00711C11" w:rsidP="002A6BDB">
            <w:pPr>
              <w:rPr>
                <w:sz w:val="22"/>
                <w:rFonts w:cs="Arial"/>
              </w:rPr>
            </w:pPr>
            <w:r w:rsidRPr="00A34181">
              <w:rPr>
                <w:sz w:val="22"/>
                <w:rFonts w:cs="Arial"/>
              </w:rPr>
              <w:t>3.099.445,11</w:t>
            </w:r>
          </w:p>
        </w:tc>
      </w:tr>
      <w:tr w:rsidR="00711C11" w:rsidRPr="00A34181" w14:paraId="4B6CCA83" w14:textId="77777777" w:rsidTr="002A6BDB">
        <w:trPr>
          <w:trHeight w:val="288"/>
          <w:jc w:val="center"/>
        </w:trPr>
        <w:tc>
          <w:tcPr>
            <w:tcW w:w="2312" w:type="dxa"/>
            <w:shd w:val="clear" w:color="auto" w:fill="auto"/>
            <w:noWrap/>
          </w:tcPr>
          <w:p w14:paraId="5AB85CF3" w14:textId="77777777" w:rsidR="00711C11" w:rsidRPr="00A34181" w:rsidRDefault="00711C11" w:rsidP="002A6BDB">
            <w:pPr>
              <w:rPr>
                <w:sz w:val="22"/>
                <w:rFonts w:cs="Arial"/>
              </w:rPr>
            </w:pPr>
            <w:r w:rsidRPr="00A34181">
              <w:rPr>
                <w:sz w:val="22"/>
                <w:rFonts w:cs="Arial"/>
              </w:rPr>
              <w:t>F</w:t>
            </w:r>
            <w:r w:rsidR="00AA7E17">
              <w:rPr>
                <w:sz w:val="22"/>
                <w:rFonts w:cs="Arial"/>
              </w:rPr>
              <w:t>l</w:t>
            </w:r>
            <w:r w:rsidRPr="00A34181">
              <w:rPr>
                <w:sz w:val="22"/>
                <w:rFonts w:cs="Arial"/>
              </w:rPr>
              <w:t xml:space="preserve">ujo </w:t>
            </w:r>
            <w:proofErr w:type="spellStart"/>
            <w:r w:rsidRPr="00A34181">
              <w:rPr>
                <w:sz w:val="22"/>
                <w:rFonts w:cs="Arial"/>
              </w:rPr>
              <w:t>RCD's</w:t>
            </w:r>
            <w:proofErr w:type="spellEnd"/>
          </w:p>
        </w:tc>
        <w:tc>
          <w:tcPr>
            <w:tcW w:w="3057" w:type="dxa"/>
            <w:shd w:val="clear" w:color="auto" w:fill="auto"/>
            <w:noWrap/>
          </w:tcPr>
          <w:p w14:paraId="6DD2CF6F" w14:textId="77777777" w:rsidR="00711C11" w:rsidRPr="00A34181" w:rsidRDefault="00711C11" w:rsidP="002A6BDB">
            <w:pPr>
              <w:rPr>
                <w:sz w:val="22"/>
                <w:rFonts w:cs="Arial"/>
              </w:rPr>
            </w:pPr>
            <w:r w:rsidRPr="00A34181">
              <w:rPr>
                <w:sz w:val="22"/>
                <w:rFonts w:cs="Arial"/>
              </w:rPr>
              <w:t>1.820.296,18</w:t>
            </w:r>
          </w:p>
        </w:tc>
      </w:tr>
      <w:tr w:rsidR="00711C11" w:rsidRPr="00A34181" w14:paraId="4391D16E" w14:textId="77777777" w:rsidTr="002A6BDB">
        <w:trPr>
          <w:trHeight w:val="288"/>
          <w:jc w:val="center"/>
        </w:trPr>
        <w:tc>
          <w:tcPr>
            <w:tcW w:w="2312" w:type="dxa"/>
            <w:shd w:val="clear" w:color="auto" w:fill="auto"/>
            <w:noWrap/>
          </w:tcPr>
          <w:p w14:paraId="27A1E0BA" w14:textId="77777777" w:rsidR="00711C11" w:rsidRPr="00A34181" w:rsidRDefault="00711C11" w:rsidP="002A6BDB">
            <w:pPr>
              <w:rPr>
                <w:sz w:val="22"/>
                <w:rFonts w:cs="Arial"/>
              </w:rPr>
            </w:pPr>
          </w:p>
        </w:tc>
        <w:tc>
          <w:tcPr>
            <w:tcW w:w="3057" w:type="dxa"/>
            <w:shd w:val="clear" w:color="auto" w:fill="auto"/>
            <w:noWrap/>
          </w:tcPr>
          <w:p w14:paraId="083710F2" w14:textId="77777777" w:rsidR="00711C11" w:rsidRPr="00A34181" w:rsidRDefault="00711C11" w:rsidP="002A6BDB">
            <w:pPr>
              <w:rPr>
                <w:b/>
                <w:sz w:val="22"/>
                <w:rFonts w:cs="Arial"/>
              </w:rPr>
            </w:pPr>
            <w:r w:rsidRPr="00A34181">
              <w:rPr>
                <w:b/>
                <w:sz w:val="22"/>
                <w:rFonts w:cs="Arial"/>
              </w:rPr>
              <w:t>5.832.847,65</w:t>
            </w:r>
          </w:p>
        </w:tc>
      </w:tr>
    </w:tbl>
    <w:p w14:paraId="5E1A0B86" w14:textId="77777777" w:rsidR="009E53FB" w:rsidRDefault="00711C11" w:rsidP="00711C11">
      <w:pPr>
        <w:rPr>
          <w:color w:val="0070C0"/>
          <w:sz w:val="22"/>
          <w:rFonts w:cs="Arial"/>
        </w:rPr>
      </w:pPr>
      <w:r w:rsidRPr="00A34181">
        <w:rPr>
          <w:color w:val="0070C0"/>
          <w:sz w:val="22"/>
          <w:rFonts w:cs="Arial"/>
        </w:rPr>
        <w:lastRenderedPageBreak/>
        <w:fldChar w:fldCharType="end"/>
      </w:r>
    </w:p>
    <w:p w14:paraId="4950237F" w14:textId="64CB160E" w:rsidR="009E53FB" w:rsidRDefault="00711C11" w:rsidP="00711C11">
      <w:pPr>
        <w:rPr>
          <w:i/>
          <w:sz w:val="22"/>
          <w:szCs w:val="22"/>
          <w:rFonts w:cs="Arial"/>
        </w:rPr>
      </w:pPr>
      <w:r>
        <w:rPr>
          <w:i/>
          <w:sz w:val="22"/>
          <w:b/>
        </w:rPr>
        <w:t xml:space="preserve">5. Galdera</w:t>
      </w:r>
      <w:r>
        <w:rPr>
          <w:i/>
          <w:sz w:val="22"/>
        </w:rPr>
        <w:t xml:space="preserve">.- Gobernuak nola gastatuko du diru hori, kontuan hartuta hondakindegian ezabatzearen eta erraustearen gaineko zergak izaera finalista duela?</w:t>
      </w:r>
    </w:p>
    <w:p w14:paraId="0662D258" w14:textId="77777777" w:rsidR="009E53FB" w:rsidRDefault="00AA7E17" w:rsidP="00514CA5">
      <w:pPr>
        <w:ind w:firstLine="708"/>
        <w:rPr>
          <w:sz w:val="22"/>
          <w:szCs w:val="22"/>
          <w:rFonts w:cs="Arial"/>
        </w:rPr>
      </w:pPr>
      <w:r>
        <w:rPr>
          <w:sz w:val="22"/>
        </w:rPr>
        <w:t xml:space="preserve">Aurreko galderan emandako erantzunarekin bat, askotariko deialdietan gastatu gabe geratu den zenbatekoak Hondakinen Funtsaren esparruan deitzen joan diren beste deialdi batzuetan erabiltzen jarraitu dira, Hondakinen Planaren helburuak betetzeko; inbertsioetarako laguntzak dira gehienbat.</w:t>
      </w:r>
    </w:p>
    <w:p w14:paraId="70C44C80" w14:textId="6037AEA8" w:rsidR="009E53FB" w:rsidRDefault="00711C11" w:rsidP="00711C11">
      <w:pPr>
        <w:pStyle w:val="Textoindependiente"/>
        <w:spacing w:line="360" w:lineRule="auto"/>
        <w:ind w:firstLine="708"/>
        <w:rPr>
          <w:sz w:val="22"/>
          <w:szCs w:val="22"/>
          <w:rFonts w:cs="Arial"/>
        </w:rPr>
      </w:pPr>
      <w:r>
        <w:rPr>
          <w:sz w:val="22"/>
        </w:rPr>
        <w:t xml:space="preserve">Hori guztia jakinarazten dizut, Nafarroako Parlamentuko Erregelamenduaren 215. artikuluan ezarritakoa betez.</w:t>
      </w:r>
    </w:p>
    <w:p w14:paraId="62E31B6F" w14:textId="53345A8B" w:rsidR="009E53FB" w:rsidRDefault="00711C11" w:rsidP="00711C11">
      <w:pPr>
        <w:jc w:val="center"/>
        <w:rPr>
          <w:color w:val="000000"/>
          <w:sz w:val="22"/>
          <w:szCs w:val="22"/>
          <w:rFonts w:cs="Arial"/>
        </w:rPr>
      </w:pPr>
      <w:r>
        <w:rPr>
          <w:color w:val="000000"/>
          <w:sz w:val="22"/>
        </w:rPr>
        <w:t xml:space="preserve">Iruñean, 2023ko azaroaren 2an</w:t>
      </w:r>
    </w:p>
    <w:p w14:paraId="17AF1850" w14:textId="58236071" w:rsidR="009E53FB" w:rsidRDefault="009E53FB" w:rsidP="00711C11">
      <w:pPr>
        <w:ind w:firstLine="540"/>
        <w:jc w:val="center"/>
        <w:rPr>
          <w:sz w:val="22"/>
          <w:szCs w:val="22"/>
          <w:rFonts w:cs="Arial"/>
        </w:rPr>
      </w:pPr>
      <w:r>
        <w:rPr>
          <w:color w:val="000000"/>
        </w:rPr>
        <w:t xml:space="preserve">Landa Garapeneko eta Ingurumeneko kontseilaria:</w:t>
      </w:r>
      <w:r>
        <w:rPr>
          <w:color w:val="000000"/>
        </w:rPr>
        <w:t xml:space="preserve"> </w:t>
      </w:r>
      <w:r>
        <w:rPr>
          <w:color w:val="000000"/>
          <w:sz w:val="22"/>
        </w:rPr>
        <w:t xml:space="preserve">José María Aierdi Fernández de Barrena</w:t>
      </w:r>
    </w:p>
    <w:p w14:paraId="65909649" w14:textId="5D155D74" w:rsidR="00D77C2F" w:rsidRPr="00A34181" w:rsidRDefault="00D77C2F" w:rsidP="0083638A">
      <w:pPr>
        <w:jc w:val="center"/>
        <w:rPr>
          <w:rFonts w:cs="Arial"/>
          <w:color w:val="000000"/>
          <w:sz w:val="22"/>
          <w:szCs w:val="22"/>
        </w:rPr>
      </w:pPr>
    </w:p>
    <w:sectPr w:rsidR="00D77C2F" w:rsidRPr="00A34181" w:rsidSect="009E53FB">
      <w:headerReference w:type="default" r:id="rId7"/>
      <w:footerReference w:type="even" r:id="rId8"/>
      <w:pgSz w:w="11906" w:h="16838" w:code="9"/>
      <w:pgMar w:top="1843"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6641" w14:textId="77777777" w:rsidR="001030C6" w:rsidRDefault="001030C6" w:rsidP="00381BB8">
      <w:pPr>
        <w:pStyle w:val="Encabezado"/>
      </w:pPr>
      <w:r>
        <w:separator/>
      </w:r>
    </w:p>
  </w:endnote>
  <w:endnote w:type="continuationSeparator" w:id="0">
    <w:p w14:paraId="0C6F78CA" w14:textId="77777777" w:rsidR="001030C6" w:rsidRDefault="001030C6"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9FB1"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8900A4">
      <w:rPr>
        <w:rStyle w:val="Nmerodepgina"/>
        <w:rFonts w:cs="Arial"/>
      </w:rPr>
      <w:t>6</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4C54" w14:textId="77777777" w:rsidR="001030C6" w:rsidRDefault="001030C6" w:rsidP="00381BB8">
      <w:pPr>
        <w:pStyle w:val="Encabezado"/>
      </w:pPr>
      <w:r>
        <w:separator/>
      </w:r>
    </w:p>
  </w:footnote>
  <w:footnote w:type="continuationSeparator" w:id="0">
    <w:p w14:paraId="5A233563" w14:textId="77777777" w:rsidR="001030C6" w:rsidRDefault="001030C6"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39B8" w14:textId="54C0B303"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3AB6FA8"/>
    <w:multiLevelType w:val="hybridMultilevel"/>
    <w:tmpl w:val="DBE69538"/>
    <w:lvl w:ilvl="0" w:tplc="2F38DDF8">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1"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957491974">
    <w:abstractNumId w:val="8"/>
  </w:num>
  <w:num w:numId="2" w16cid:durableId="270162007">
    <w:abstractNumId w:val="3"/>
  </w:num>
  <w:num w:numId="3" w16cid:durableId="1282109950">
    <w:abstractNumId w:val="9"/>
  </w:num>
  <w:num w:numId="4" w16cid:durableId="1038354603">
    <w:abstractNumId w:val="15"/>
  </w:num>
  <w:num w:numId="5" w16cid:durableId="82458432">
    <w:abstractNumId w:val="1"/>
  </w:num>
  <w:num w:numId="6" w16cid:durableId="1409616186">
    <w:abstractNumId w:val="14"/>
  </w:num>
  <w:num w:numId="7" w16cid:durableId="1490944965">
    <w:abstractNumId w:val="5"/>
  </w:num>
  <w:num w:numId="8" w16cid:durableId="1301032830">
    <w:abstractNumId w:val="4"/>
  </w:num>
  <w:num w:numId="9" w16cid:durableId="496699060">
    <w:abstractNumId w:val="7"/>
  </w:num>
  <w:num w:numId="10" w16cid:durableId="14105026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23193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9761079">
    <w:abstractNumId w:val="16"/>
  </w:num>
  <w:num w:numId="13" w16cid:durableId="82268672">
    <w:abstractNumId w:val="2"/>
  </w:num>
  <w:num w:numId="14" w16cid:durableId="2108425056">
    <w:abstractNumId w:val="13"/>
  </w:num>
  <w:num w:numId="15" w16cid:durableId="163203252">
    <w:abstractNumId w:val="0"/>
  </w:num>
  <w:num w:numId="16" w16cid:durableId="809439999">
    <w:abstractNumId w:val="10"/>
  </w:num>
  <w:num w:numId="17" w16cid:durableId="1354570610">
    <w:abstractNumId w:val="12"/>
  </w:num>
  <w:num w:numId="18" w16cid:durableId="1137140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11"/>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0C6"/>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37AD1"/>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5EBB"/>
    <w:rsid w:val="0032687A"/>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2CA2"/>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CA5"/>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1C11"/>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00A4"/>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53FB"/>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4181"/>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A7E17"/>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2C83"/>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4CEB"/>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25E2"/>
    <w:rsid w:val="00BB25F1"/>
    <w:rsid w:val="00BB28EB"/>
    <w:rsid w:val="00BB3524"/>
    <w:rsid w:val="00BB3C8A"/>
    <w:rsid w:val="00BB3F92"/>
    <w:rsid w:val="00BC238C"/>
    <w:rsid w:val="00BC2D92"/>
    <w:rsid w:val="00BC2D9D"/>
    <w:rsid w:val="00BC3A3A"/>
    <w:rsid w:val="00BC3F4C"/>
    <w:rsid w:val="00BC55BF"/>
    <w:rsid w:val="00BC595B"/>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3B8"/>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36C1B"/>
    <w:rsid w:val="00C40932"/>
    <w:rsid w:val="00C4398E"/>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C7E8B"/>
    <w:rsid w:val="00DD10F5"/>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E7A40"/>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0A8"/>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1EAC"/>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874510"/>
  <w15:chartTrackingRefBased/>
  <w15:docId w15:val="{238B821A-4B35-449A-A77F-7A847D77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4</TotalTime>
  <Pages>5</Pages>
  <Words>1408</Words>
  <Characters>7983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Aranaz, Carlota</cp:lastModifiedBy>
  <cp:revision>4</cp:revision>
  <cp:lastPrinted>2023-11-03T07:06:00Z</cp:lastPrinted>
  <dcterms:created xsi:type="dcterms:W3CDTF">2023-11-03T07:16:00Z</dcterms:created>
  <dcterms:modified xsi:type="dcterms:W3CDTF">2023-11-03T12:59:00Z</dcterms:modified>
</cp:coreProperties>
</file>