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CB9" w14:textId="77777777" w:rsidR="00D82718" w:rsidRPr="00D82718" w:rsidRDefault="00D82718" w:rsidP="009718B0">
      <w:pPr>
        <w:spacing w:before="100" w:beforeAutospacing="1" w:after="200"/>
        <w:jc w:val="both"/>
        <w:rPr>
          <w:rFonts w:ascii="Calibri" w:hAnsi="Calibri" w:cs="Calibri"/>
        </w:rPr>
      </w:pPr>
      <w:r>
        <w:rPr>
          <w:rFonts w:ascii="Calibri" w:hAnsi="Calibri"/>
        </w:rPr>
        <w:t>24MOC-4</w:t>
      </w:r>
    </w:p>
    <w:p w14:paraId="4CE1ECFB" w14:textId="77777777" w:rsidR="00D82718" w:rsidRPr="00D82718" w:rsidRDefault="00D82718" w:rsidP="009718B0">
      <w:pPr>
        <w:spacing w:before="100" w:beforeAutospacing="1" w:after="200"/>
        <w:jc w:val="both"/>
        <w:rPr>
          <w:rFonts w:ascii="Calibri" w:hAnsi="Calibri" w:cs="Calibri"/>
        </w:rPr>
      </w:pPr>
      <w:r>
        <w:rPr>
          <w:rFonts w:ascii="Calibri" w:hAnsi="Calibri"/>
        </w:rPr>
        <w:t xml:space="preserve">Nafarroako Gorteetako kide den eta Alderdi Popularra talde parlamentarioari atxikita dagoen Javier García Jiménez jaunak, Legebiltzarreko Erregelamenduan xedatzen denaren babesean, honako mozio hau aurkezten du, Osoko Bilkuran eztabaidatzeko: </w:t>
      </w:r>
    </w:p>
    <w:p w14:paraId="124D48FB" w14:textId="77777777" w:rsidR="00D82718" w:rsidRPr="00D82718" w:rsidRDefault="00D82718" w:rsidP="009718B0">
      <w:pPr>
        <w:spacing w:before="100" w:beforeAutospacing="1" w:after="200"/>
        <w:jc w:val="both"/>
        <w:rPr>
          <w:rFonts w:ascii="Calibri" w:hAnsi="Calibri" w:cs="Calibri"/>
        </w:rPr>
      </w:pPr>
      <w:r>
        <w:rPr>
          <w:rFonts w:ascii="Calibri" w:hAnsi="Calibri"/>
        </w:rPr>
        <w:t xml:space="preserve">Zioen azalpena. </w:t>
      </w:r>
    </w:p>
    <w:p w14:paraId="39F578F6" w14:textId="488ACC96" w:rsidR="00D82718" w:rsidRPr="00D82718" w:rsidRDefault="00D82718" w:rsidP="009718B0">
      <w:pPr>
        <w:spacing w:before="100" w:beforeAutospacing="1" w:after="200"/>
        <w:jc w:val="both"/>
        <w:rPr>
          <w:rFonts w:ascii="Calibri" w:hAnsi="Calibri" w:cs="Calibri"/>
        </w:rPr>
      </w:pPr>
      <w:r>
        <w:rPr>
          <w:rFonts w:ascii="Calibri" w:hAnsi="Calibri"/>
        </w:rPr>
        <w:t xml:space="preserve">Demokrazia guztiek bereizgarri duten zuzenbide estatuaren ereduak eskatzen du bai herritarrak, bai politikariak, bai eta kargu publikodunak ere zeharo lotuta egotea legeari eta zuzenbideari. Alde horretatik, delitu larriak egiten direnean funtsezkoa da bermatzea justizia aplikatuko dela legearen aginduari loturik eta herritar guztiek legearen aurrean duten berdintasunaren arabera. </w:t>
      </w:r>
    </w:p>
    <w:p w14:paraId="192E3C8D" w14:textId="77777777" w:rsidR="00D82718" w:rsidRPr="00D82718" w:rsidRDefault="00D82718" w:rsidP="009718B0">
      <w:pPr>
        <w:spacing w:before="100" w:beforeAutospacing="1" w:after="200"/>
        <w:jc w:val="both"/>
        <w:rPr>
          <w:rFonts w:ascii="Calibri" w:hAnsi="Calibri" w:cs="Calibri"/>
        </w:rPr>
      </w:pPr>
      <w:r>
        <w:rPr>
          <w:rFonts w:ascii="Calibri" w:hAnsi="Calibri"/>
        </w:rPr>
        <w:t xml:space="preserve">Azken urteotan legegintza-prozesu bat sumatu da, delitu batzuen indargabetzea ekarri duena, hala nola albaramendu delituarena, abenduaren 22ko 12/2022 Lege Organikoaren bitartez. Lege-hutsuneen sorrerak desafioak ekartzen dizkio Estatu modernoaren autobabesari, eta horrek agerian uzten du hutsune horiei modu egokian erantzuteko tipo penal berriak ezarri beharra. </w:t>
      </w:r>
    </w:p>
    <w:p w14:paraId="2AB8DFB7" w14:textId="1B73D792" w:rsidR="00D82718" w:rsidRPr="00D82718" w:rsidRDefault="00D82718" w:rsidP="009718B0">
      <w:pPr>
        <w:spacing w:before="100" w:beforeAutospacing="1" w:after="200"/>
        <w:jc w:val="both"/>
        <w:rPr>
          <w:rFonts w:ascii="Calibri" w:hAnsi="Calibri" w:cs="Calibri"/>
        </w:rPr>
      </w:pPr>
      <w:r>
        <w:rPr>
          <w:rFonts w:ascii="Calibri" w:hAnsi="Calibri"/>
        </w:rPr>
        <w:t xml:space="preserve">Kataluniako normalizazio instituzional, politiko eta sozialerako amnistia-lege organikoaren proposamenak eztabaida piztu du. Gobernuko egungo presidente Pedro Sánchezen inbestidurarako baldintza gisa aurkezten da. Alabaina, funts-funtsezkoa da ziurtatzea amnistia-neurri oro bidezkotasunez aplikatuko dela, ordena konstituzionalaren aurkako delitu larriak egin dituztenen erantzukizuna zalantzan jarri gabe. </w:t>
      </w:r>
    </w:p>
    <w:p w14:paraId="116B2D26" w14:textId="285A2FF4" w:rsidR="00D82718" w:rsidRPr="00D82718" w:rsidRDefault="00D82718" w:rsidP="009718B0">
      <w:pPr>
        <w:spacing w:before="100" w:beforeAutospacing="1" w:after="200"/>
        <w:jc w:val="both"/>
        <w:rPr>
          <w:rFonts w:ascii="Calibri" w:hAnsi="Calibri" w:cs="Calibri"/>
        </w:rPr>
      </w:pPr>
      <w:r>
        <w:rPr>
          <w:rFonts w:ascii="Calibri" w:hAnsi="Calibri"/>
        </w:rPr>
        <w:t xml:space="preserve">Oinarrizkoa da ekiditea lege-aldaketa horrek zuzenbide-estatuaren babesaren murrizketa erakar dezan. Ildo horretan, desleialkeria konstituzionaleko delituak Kode Penalean tipifikatuz zuzenbide estatuaren balioaren babesa indartzea proposatzen da. Horrek modua emanen luke azkenaldi honetan obratu den edozein atzerapauso zuzentzeko eta sistema judizialaren integritatea bermatzeko. </w:t>
      </w:r>
    </w:p>
    <w:p w14:paraId="57AFD116" w14:textId="77777777" w:rsidR="00D82718" w:rsidRPr="00D82718" w:rsidRDefault="00D82718" w:rsidP="009718B0">
      <w:pPr>
        <w:spacing w:before="100" w:beforeAutospacing="1" w:after="200"/>
        <w:jc w:val="both"/>
        <w:rPr>
          <w:rFonts w:ascii="Calibri" w:hAnsi="Calibri" w:cs="Calibri"/>
        </w:rPr>
      </w:pPr>
      <w:r>
        <w:rPr>
          <w:rFonts w:ascii="Calibri" w:hAnsi="Calibri"/>
        </w:rPr>
        <w:t xml:space="preserve">Horregatik guztiagatik, Nafarroako Parlamentuak erabakitzen du: </w:t>
      </w:r>
    </w:p>
    <w:p w14:paraId="0EF5215F" w14:textId="26559390" w:rsidR="00D82718" w:rsidRPr="00D82718" w:rsidRDefault="00D82718" w:rsidP="009718B0">
      <w:pPr>
        <w:spacing w:before="100" w:beforeAutospacing="1" w:after="200"/>
        <w:jc w:val="both"/>
        <w:rPr>
          <w:rFonts w:ascii="Calibri" w:hAnsi="Calibri" w:cs="Calibri"/>
        </w:rPr>
      </w:pPr>
      <w:r>
        <w:rPr>
          <w:rFonts w:ascii="Calibri" w:hAnsi="Calibri"/>
        </w:rPr>
        <w:t>1. Espainiako Gobernua premiatzea desleialkeria konstituzionalezko jokabide larri</w:t>
      </w:r>
      <w:r w:rsidR="00FA7DF1">
        <w:rPr>
          <w:rFonts w:ascii="Calibri" w:hAnsi="Calibri"/>
        </w:rPr>
        <w:t>ak</w:t>
      </w:r>
      <w:r>
        <w:rPr>
          <w:rFonts w:ascii="Calibri" w:hAnsi="Calibri"/>
        </w:rPr>
        <w:t xml:space="preserve"> tipifika</w:t>
      </w:r>
      <w:r w:rsidR="00FA7DF1">
        <w:rPr>
          <w:rFonts w:ascii="Calibri" w:hAnsi="Calibri"/>
        </w:rPr>
        <w:t>tzea</w:t>
      </w:r>
      <w:r>
        <w:rPr>
          <w:rFonts w:ascii="Calibri" w:hAnsi="Calibri"/>
        </w:rPr>
        <w:t xml:space="preserve"> aintzat har dezan, halako moduz non ziurtatuko baita ordena konstituzionalaren mantentzeari eta Estatuaren osotasunari buruzko aginduak errespetatuak izatea. </w:t>
      </w:r>
    </w:p>
    <w:p w14:paraId="6D0DEDF6" w14:textId="67F9A002" w:rsidR="00D82718" w:rsidRPr="00D82718" w:rsidRDefault="00D82718" w:rsidP="009718B0">
      <w:pPr>
        <w:spacing w:before="100" w:beforeAutospacing="1" w:after="200"/>
        <w:jc w:val="both"/>
        <w:rPr>
          <w:rFonts w:ascii="Calibri" w:hAnsi="Calibri" w:cs="Calibri"/>
        </w:rPr>
      </w:pPr>
      <w:r>
        <w:rPr>
          <w:rFonts w:ascii="Calibri" w:hAnsi="Calibri"/>
        </w:rPr>
        <w:t xml:space="preserve">2. </w:t>
      </w:r>
      <w:r w:rsidR="00FA7DF1" w:rsidRPr="00FA7DF1">
        <w:rPr>
          <w:rFonts w:ascii="Calibri" w:hAnsi="Calibri"/>
        </w:rPr>
        <w:t>Espainiako Gobernua premiatzea Desleialkeria Konstituzionala deritzon kapitulu berri bat txerta diezaion Zigor Kodearen 10/1995 Lege Organikoari. Kapitulu horretan tipifikatuko dira funtzionarioek, ordezkari publikoek nahiz pertsona juridikoek eginiko delituak, halako egintzak gauzatzen dituztenean zeinak bideratuta baitaude erreferendum baterako deialdia egitera edo erreferendum bat egiteari dagokionez Konstituzioak ezarritako baldintzak urratzen dituen edonolako herritar-kontsulta baterako deialdia egitera</w:t>
      </w:r>
      <w:r>
        <w:rPr>
          <w:rFonts w:ascii="Calibri" w:hAnsi="Calibri"/>
        </w:rPr>
        <w:t>.</w:t>
      </w:r>
    </w:p>
    <w:p w14:paraId="4A6ED5E7" w14:textId="3C9FC565" w:rsidR="00D82718" w:rsidRPr="00D82718" w:rsidRDefault="00D82718" w:rsidP="009718B0">
      <w:pPr>
        <w:spacing w:before="100" w:beforeAutospacing="1" w:after="200"/>
        <w:jc w:val="both"/>
        <w:rPr>
          <w:rFonts w:ascii="Calibri" w:hAnsi="Calibri" w:cs="Calibri"/>
        </w:rPr>
      </w:pPr>
      <w:r>
        <w:rPr>
          <w:rFonts w:ascii="Calibri" w:hAnsi="Calibri"/>
        </w:rPr>
        <w:t xml:space="preserve">3. Espainiako Gobernua premiatzea aipatu lege organikoan desegite-zigorra ezar dezan Desleialkeria Konstituzionalaren kapituluan jasotako delituen erantzukizuna duten pertsona juridikoentzat, non eta ez den frogatzen laguntza aktiboa ematen dutela gertakariak argitzeko eta ordena konstituzionala berrezartzeko. </w:t>
      </w:r>
    </w:p>
    <w:p w14:paraId="1910C92D" w14:textId="77777777" w:rsidR="00D82718" w:rsidRPr="00D82718" w:rsidRDefault="00D82718" w:rsidP="009718B0">
      <w:pPr>
        <w:spacing w:before="100" w:beforeAutospacing="1" w:after="200"/>
        <w:jc w:val="both"/>
        <w:rPr>
          <w:rFonts w:ascii="Calibri" w:hAnsi="Calibri" w:cs="Calibri"/>
        </w:rPr>
      </w:pPr>
      <w:r>
        <w:rPr>
          <w:rFonts w:ascii="Calibri" w:hAnsi="Calibri"/>
        </w:rPr>
        <w:lastRenderedPageBreak/>
        <w:t>Iruñean, 2024ko urtarrilaren 9an</w:t>
      </w:r>
    </w:p>
    <w:p w14:paraId="6CAC022D" w14:textId="2B32C74D" w:rsidR="00B065BA" w:rsidRPr="00D82718" w:rsidRDefault="00D82718" w:rsidP="009718B0">
      <w:pPr>
        <w:spacing w:before="100" w:beforeAutospacing="1" w:after="200"/>
        <w:jc w:val="both"/>
        <w:rPr>
          <w:rFonts w:ascii="Calibri" w:hAnsi="Calibri" w:cs="Calibri"/>
        </w:rPr>
      </w:pPr>
      <w:r>
        <w:rPr>
          <w:rFonts w:ascii="Calibri" w:hAnsi="Calibri"/>
        </w:rPr>
        <w:t xml:space="preserve">Foru parlamentaria: Javier García Jiménez </w:t>
      </w:r>
    </w:p>
    <w:sectPr w:rsidR="00B065BA" w:rsidRPr="00D827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18"/>
    <w:rsid w:val="00165173"/>
    <w:rsid w:val="001E34F2"/>
    <w:rsid w:val="002A1006"/>
    <w:rsid w:val="00337EB8"/>
    <w:rsid w:val="003808EA"/>
    <w:rsid w:val="003C1B1F"/>
    <w:rsid w:val="00470921"/>
    <w:rsid w:val="00845D68"/>
    <w:rsid w:val="008A3285"/>
    <w:rsid w:val="00956302"/>
    <w:rsid w:val="009718B0"/>
    <w:rsid w:val="00B065BA"/>
    <w:rsid w:val="00D82718"/>
    <w:rsid w:val="00EE25E1"/>
    <w:rsid w:val="00FA7DF1"/>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58BA"/>
  <w15:chartTrackingRefBased/>
  <w15:docId w15:val="{0CE01A7D-89D0-4563-94AB-C01C3F9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2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27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27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27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27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7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7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7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7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27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27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27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27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27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7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7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718"/>
    <w:rPr>
      <w:rFonts w:eastAsiaTheme="majorEastAsia" w:cstheme="majorBidi"/>
      <w:color w:val="272727" w:themeColor="text1" w:themeTint="D8"/>
    </w:rPr>
  </w:style>
  <w:style w:type="paragraph" w:styleId="Ttulo">
    <w:name w:val="Title"/>
    <w:basedOn w:val="Normal"/>
    <w:next w:val="Normal"/>
    <w:link w:val="TtuloCar"/>
    <w:uiPriority w:val="10"/>
    <w:qFormat/>
    <w:rsid w:val="00D82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27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7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7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718"/>
    <w:pPr>
      <w:spacing w:before="160"/>
      <w:jc w:val="center"/>
    </w:pPr>
    <w:rPr>
      <w:i/>
      <w:iCs/>
      <w:color w:val="404040" w:themeColor="text1" w:themeTint="BF"/>
    </w:rPr>
  </w:style>
  <w:style w:type="character" w:customStyle="1" w:styleId="CitaCar">
    <w:name w:val="Cita Car"/>
    <w:basedOn w:val="Fuentedeprrafopredeter"/>
    <w:link w:val="Cita"/>
    <w:uiPriority w:val="29"/>
    <w:rsid w:val="00D82718"/>
    <w:rPr>
      <w:i/>
      <w:iCs/>
      <w:color w:val="404040" w:themeColor="text1" w:themeTint="BF"/>
    </w:rPr>
  </w:style>
  <w:style w:type="paragraph" w:styleId="Prrafodelista">
    <w:name w:val="List Paragraph"/>
    <w:basedOn w:val="Normal"/>
    <w:uiPriority w:val="34"/>
    <w:qFormat/>
    <w:rsid w:val="00D82718"/>
    <w:pPr>
      <w:ind w:left="720"/>
      <w:contextualSpacing/>
    </w:pPr>
  </w:style>
  <w:style w:type="character" w:styleId="nfasisintenso">
    <w:name w:val="Intense Emphasis"/>
    <w:basedOn w:val="Fuentedeprrafopredeter"/>
    <w:uiPriority w:val="21"/>
    <w:qFormat/>
    <w:rsid w:val="00D82718"/>
    <w:rPr>
      <w:i/>
      <w:iCs/>
      <w:color w:val="0F4761" w:themeColor="accent1" w:themeShade="BF"/>
    </w:rPr>
  </w:style>
  <w:style w:type="paragraph" w:styleId="Citadestacada">
    <w:name w:val="Intense Quote"/>
    <w:basedOn w:val="Normal"/>
    <w:next w:val="Normal"/>
    <w:link w:val="CitadestacadaCar"/>
    <w:uiPriority w:val="30"/>
    <w:qFormat/>
    <w:rsid w:val="00D82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2718"/>
    <w:rPr>
      <w:i/>
      <w:iCs/>
      <w:color w:val="0F4761" w:themeColor="accent1" w:themeShade="BF"/>
    </w:rPr>
  </w:style>
  <w:style w:type="character" w:styleId="Referenciaintensa">
    <w:name w:val="Intense Reference"/>
    <w:basedOn w:val="Fuentedeprrafopredeter"/>
    <w:uiPriority w:val="32"/>
    <w:qFormat/>
    <w:rsid w:val="00D827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2573</Characters>
  <Application>Microsoft Office Word</Application>
  <DocSecurity>0</DocSecurity>
  <Lines>21</Lines>
  <Paragraphs>6</Paragraphs>
  <ScaleCrop>false</ScaleCrop>
  <Company>HP Inc.</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8</cp:revision>
  <dcterms:created xsi:type="dcterms:W3CDTF">2024-01-10T07:46:00Z</dcterms:created>
  <dcterms:modified xsi:type="dcterms:W3CDTF">2024-01-18T14:57:00Z</dcterms:modified>
</cp:coreProperties>
</file>