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8816" w14:textId="430ED709" w:rsidR="005C57FC" w:rsidRDefault="001F34F3" w:rsidP="001C1E70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EH Bildu Nafarroa talde parlamentarioari atxikitako foru parlamentari Laura Aznal Sagasti andreak idatziz erantzuteko galdera egin du erkidegoetako galdarak berritzeko laguntzei buruz (11-23/PES-00150). Hona Nafarroako Gobernuko Industriako eta Enpresen Trantsizio Ekologiko eta Digitalerako Departamentuko kontseilariak horri buruz ematen dion informazioa:</w:t>
      </w:r>
    </w:p>
    <w:p w14:paraId="58DB66F1" w14:textId="77777777" w:rsidR="009677F4" w:rsidRPr="009677F4" w:rsidRDefault="009677F4" w:rsidP="009677F4">
      <w:pPr>
        <w:numPr>
          <w:ilvl w:val="0"/>
          <w:numId w:val="4"/>
        </w:numPr>
        <w:spacing w:line="360" w:lineRule="auto"/>
        <w:jc w:val="both"/>
        <w:rPr>
          <w:rFonts w:ascii="DejaVu Serif Condensed" w:hAnsi="DejaVu Serif Condensed"/>
          <w:b/>
          <w:sz w:val="24"/>
          <w:szCs w:val="24"/>
        </w:rPr>
      </w:pPr>
      <w:r>
        <w:rPr>
          <w:rFonts w:ascii="DejaVu Serif Condensed" w:hAnsi="DejaVu Serif Condensed"/>
          <w:b/>
          <w:sz w:val="24"/>
        </w:rPr>
        <w:t>Zer laguntza ekonomiko eskaintzen ditu Nafarroako Gobernuak galdara edo instalazio termiko zentralizatuak berritzeko?</w:t>
      </w:r>
    </w:p>
    <w:p w14:paraId="7409192B" w14:textId="77777777" w:rsidR="009677F4" w:rsidRPr="009677F4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1124/2021 Errege Dekretua (167E/2022 Ebazpena) ekonomiaren zenbait sektoretan energia termiko berriztagarrien instalazioak ezartzera dago bideratuta, horien artean sektore publikoan.</w:t>
      </w:r>
    </w:p>
    <w:p w14:paraId="1C177CDC" w14:textId="77777777" w:rsidR="009677F4" w:rsidRPr="009677F4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Diruz laguntzen ahal dira instalazio termiko berriztagarri berriak jartzeko eta dauden ekoizpen sistemak handitzeko eta ordezteko jarduketak.</w:t>
      </w:r>
    </w:p>
    <w:p w14:paraId="4C1DCFAD" w14:textId="77777777" w:rsidR="009677F4" w:rsidRPr="009677F4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  <w:u w:val="single"/>
        </w:rPr>
      </w:pPr>
      <w:r>
        <w:rPr>
          <w:rFonts w:ascii="DejaVu Serif Condensed" w:hAnsi="DejaVu Serif Condensed"/>
          <w:sz w:val="24"/>
          <w:u w:val="single"/>
        </w:rPr>
        <w:t>Hauek dira laguntzaren hartzaileak:</w:t>
      </w:r>
    </w:p>
    <w:p w14:paraId="2EB4EBD4" w14:textId="77777777" w:rsidR="009677F4" w:rsidRPr="009677F4" w:rsidRDefault="009677F4" w:rsidP="009677F4">
      <w:pPr>
        <w:numPr>
          <w:ilvl w:val="0"/>
          <w:numId w:val="5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Pizgarrien 1. programa: industria sektoreko pizgarriak</w:t>
      </w:r>
    </w:p>
    <w:p w14:paraId="6DC7DE88" w14:textId="77777777" w:rsidR="009677F4" w:rsidRDefault="009677F4" w:rsidP="009677F4">
      <w:pPr>
        <w:numPr>
          <w:ilvl w:val="0"/>
          <w:numId w:val="6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Pertsona fisikoak</w:t>
      </w:r>
    </w:p>
    <w:p w14:paraId="27B1024A" w14:textId="77777777" w:rsidR="009677F4" w:rsidRPr="009677F4" w:rsidRDefault="009677F4" w:rsidP="009677F4">
      <w:pPr>
        <w:numPr>
          <w:ilvl w:val="0"/>
          <w:numId w:val="6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Pertsona juridikoak</w:t>
      </w:r>
    </w:p>
    <w:p w14:paraId="4CB1A687" w14:textId="77777777" w:rsidR="009677F4" w:rsidRPr="009677F4" w:rsidRDefault="009677F4" w:rsidP="009677F4">
      <w:pPr>
        <w:numPr>
          <w:ilvl w:val="0"/>
          <w:numId w:val="6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Entitate publikoak</w:t>
      </w:r>
    </w:p>
    <w:p w14:paraId="564E541F" w14:textId="77777777" w:rsidR="009677F4" w:rsidRPr="009677F4" w:rsidRDefault="009677F4" w:rsidP="009677F4">
      <w:pPr>
        <w:numPr>
          <w:ilvl w:val="0"/>
          <w:numId w:val="6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 xml:space="preserve">Elkarteak </w:t>
      </w:r>
    </w:p>
    <w:p w14:paraId="15FE0341" w14:textId="77777777" w:rsidR="009677F4" w:rsidRPr="009677F4" w:rsidRDefault="009677F4" w:rsidP="009677F4">
      <w:pPr>
        <w:numPr>
          <w:ilvl w:val="0"/>
          <w:numId w:val="5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Pizgarrien 2. programa: beste sektore batzuetako pizgarriak, kanpo utzita bizitegien sektorea, 477/2021 Errege Dekretu bidez kudeatzen baita hori.</w:t>
      </w:r>
    </w:p>
    <w:p w14:paraId="4CCF8DDC" w14:textId="77777777" w:rsidR="009677F4" w:rsidRPr="009677F4" w:rsidRDefault="009677F4" w:rsidP="009677F4">
      <w:pPr>
        <w:numPr>
          <w:ilvl w:val="0"/>
          <w:numId w:val="7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Toki entitateak</w:t>
      </w:r>
    </w:p>
    <w:p w14:paraId="51820212" w14:textId="77777777" w:rsidR="009677F4" w:rsidRPr="009677F4" w:rsidRDefault="009677F4" w:rsidP="009677F4">
      <w:pPr>
        <w:numPr>
          <w:ilvl w:val="0"/>
          <w:numId w:val="7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Entitate publikoak</w:t>
      </w:r>
    </w:p>
    <w:p w14:paraId="555EFD2F" w14:textId="77777777" w:rsidR="001568BD" w:rsidRDefault="009677F4" w:rsidP="009677F4">
      <w:pPr>
        <w:numPr>
          <w:ilvl w:val="0"/>
          <w:numId w:val="7"/>
        </w:num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Elkarteak</w:t>
      </w:r>
    </w:p>
    <w:p w14:paraId="0A4471E4" w14:textId="60EBE938" w:rsidR="009677F4" w:rsidRPr="009677F4" w:rsidRDefault="009677F4" w:rsidP="009677F4">
      <w:pPr>
        <w:numPr>
          <w:ilvl w:val="0"/>
          <w:numId w:val="4"/>
        </w:numPr>
        <w:spacing w:line="360" w:lineRule="auto"/>
        <w:jc w:val="both"/>
        <w:rPr>
          <w:rFonts w:ascii="DejaVu Serif Condensed" w:hAnsi="DejaVu Serif Condensed"/>
          <w:b/>
          <w:sz w:val="24"/>
          <w:szCs w:val="24"/>
        </w:rPr>
      </w:pPr>
      <w:r>
        <w:rPr>
          <w:rFonts w:ascii="DejaVu Serif Condensed" w:hAnsi="DejaVu Serif Condensed"/>
          <w:b/>
          <w:sz w:val="24"/>
        </w:rPr>
        <w:t>Ehunekoak eta zenbatekoak bereizten al dira galdara berrien energia-iturri motaren arabera, berriztagarria den edo jatorri fosilekoa den kontuan hartuta?</w:t>
      </w:r>
    </w:p>
    <w:p w14:paraId="7ED1F617" w14:textId="77777777" w:rsidR="009677F4" w:rsidRPr="009677F4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Dirulaguntza hori jatorrizko iturri berriztagarriak soilik erabiltzen dituzten instalazioetarako da. Ez dira barne hartzen jatorri fosileko iturriak.</w:t>
      </w:r>
    </w:p>
    <w:p w14:paraId="57DACE62" w14:textId="77777777" w:rsidR="009677F4" w:rsidRPr="009677F4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lastRenderedPageBreak/>
        <w:t>Aplikatzeko tipologiak deialdiaren AI.1 Eranskinean (Diruz lagundu daitezkeen jarduketak.) daude azalduta. Besteak beste, honako hauek: Aerotermia, biomasa, eguzki energia termikoa etab.</w:t>
      </w:r>
    </w:p>
    <w:p w14:paraId="002C7387" w14:textId="77777777" w:rsidR="009677F4" w:rsidRPr="009677F4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Aurrez definitutako programa bietarako, dirulaguntzaren zenbatekoa laguntzaren oinarriaren eta laguntza osagarriaren arteko batura da, deialdiaren III. Eranskinarekin bat definitutako diruz lagundu daitezkeen kostuak kontuan hartuta.</w:t>
      </w:r>
    </w:p>
    <w:p w14:paraId="4F9127D6" w14:textId="77777777" w:rsidR="001568BD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Pizgarrien 1. programarako dirulaguntzaren zenbatekoaren oinarria hauxe izanen 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6"/>
        <w:gridCol w:w="2468"/>
        <w:gridCol w:w="2302"/>
        <w:gridCol w:w="2303"/>
      </w:tblGrid>
      <w:tr w:rsidR="001568BD" w:rsidRPr="001568BD" w14:paraId="3A2DAF00" w14:textId="77777777" w:rsidTr="001568BD">
        <w:trPr>
          <w:trHeight w:val="835"/>
        </w:trPr>
        <w:tc>
          <w:tcPr>
            <w:tcW w:w="2136" w:type="dxa"/>
            <w:shd w:val="pct12" w:color="auto" w:fill="auto"/>
          </w:tcPr>
          <w:p w14:paraId="4FA48D05" w14:textId="77777777" w:rsidR="001568BD" w:rsidRPr="001568BD" w:rsidRDefault="001568BD" w:rsidP="001568BD">
            <w:pPr>
              <w:spacing w:before="120" w:after="60" w:line="360" w:lineRule="auto"/>
              <w:jc w:val="both"/>
              <w:rPr>
                <w:rFonts w:ascii="Helvetica LT Std" w:hAnsi="Helvetica LT Std" w:cs="Arial"/>
                <w:sz w:val="18"/>
                <w:szCs w:val="18"/>
              </w:rPr>
            </w:pPr>
          </w:p>
        </w:tc>
        <w:tc>
          <w:tcPr>
            <w:tcW w:w="2468" w:type="dxa"/>
            <w:shd w:val="pct12" w:color="auto" w:fill="auto"/>
          </w:tcPr>
          <w:p w14:paraId="76C2C923" w14:textId="5ACF7F54" w:rsidR="001568BD" w:rsidRPr="001568BD" w:rsidRDefault="001568BD" w:rsidP="001568BD">
            <w:pPr>
              <w:spacing w:before="120" w:after="60" w:line="360" w:lineRule="auto"/>
              <w:jc w:val="center"/>
              <w:rPr>
                <w:rFonts w:ascii="Helvetica LT Std" w:hAnsi="Helvetica LT Std" w:cs="Arial"/>
                <w:b/>
                <w:bCs/>
                <w:sz w:val="18"/>
                <w:szCs w:val="18"/>
              </w:rPr>
            </w:pPr>
            <w:r>
              <w:rPr>
                <w:rFonts w:ascii="Helvetica LT Std" w:hAnsi="Helvetica LT Std"/>
                <w:b/>
                <w:sz w:val="18"/>
              </w:rPr>
              <w:t>enpresa handietako dirulaguntza oinarriaren %</w:t>
            </w:r>
          </w:p>
        </w:tc>
        <w:tc>
          <w:tcPr>
            <w:tcW w:w="2302" w:type="dxa"/>
            <w:shd w:val="pct12" w:color="auto" w:fill="auto"/>
          </w:tcPr>
          <w:p w14:paraId="29AB3921" w14:textId="4898BF64" w:rsidR="001568BD" w:rsidRPr="001568BD" w:rsidRDefault="001568BD" w:rsidP="001568BD">
            <w:pPr>
              <w:spacing w:before="120" w:after="60" w:line="360" w:lineRule="auto"/>
              <w:jc w:val="center"/>
              <w:rPr>
                <w:rFonts w:ascii="Helvetica LT Std" w:hAnsi="Helvetica LT Std" w:cs="Arial"/>
                <w:b/>
                <w:bCs/>
                <w:sz w:val="18"/>
                <w:szCs w:val="18"/>
              </w:rPr>
            </w:pPr>
            <w:r>
              <w:rPr>
                <w:rFonts w:ascii="Helvetica LT Std" w:hAnsi="Helvetica LT Std"/>
                <w:b/>
                <w:sz w:val="18"/>
              </w:rPr>
              <w:t>enpresa ertainetako dirulaguntza oinarriaren %</w:t>
            </w:r>
          </w:p>
        </w:tc>
        <w:tc>
          <w:tcPr>
            <w:tcW w:w="2303" w:type="dxa"/>
            <w:shd w:val="pct12" w:color="auto" w:fill="auto"/>
          </w:tcPr>
          <w:p w14:paraId="28BB72BE" w14:textId="5B4B9704" w:rsidR="001568BD" w:rsidRPr="001568BD" w:rsidRDefault="001568BD" w:rsidP="001568BD">
            <w:pPr>
              <w:spacing w:before="120" w:after="60" w:line="360" w:lineRule="auto"/>
              <w:jc w:val="center"/>
              <w:rPr>
                <w:rFonts w:ascii="Helvetica LT Std" w:hAnsi="Helvetica LT Std" w:cs="Arial"/>
                <w:b/>
                <w:bCs/>
                <w:sz w:val="18"/>
                <w:szCs w:val="18"/>
              </w:rPr>
            </w:pPr>
            <w:r>
              <w:rPr>
                <w:rFonts w:ascii="Helvetica LT Std" w:hAnsi="Helvetica LT Std"/>
                <w:b/>
                <w:sz w:val="18"/>
              </w:rPr>
              <w:t>enpresa txikietako dirulaguntza oinarriaren %</w:t>
            </w:r>
          </w:p>
        </w:tc>
      </w:tr>
      <w:tr w:rsidR="001568BD" w:rsidRPr="001568BD" w14:paraId="79B5BFE8" w14:textId="77777777" w:rsidTr="001568BD">
        <w:trPr>
          <w:trHeight w:val="678"/>
        </w:trPr>
        <w:tc>
          <w:tcPr>
            <w:tcW w:w="2136" w:type="dxa"/>
          </w:tcPr>
          <w:p w14:paraId="059F73E3" w14:textId="5AE8B049" w:rsidR="001568BD" w:rsidRPr="001568BD" w:rsidRDefault="001568BD" w:rsidP="001568BD">
            <w:pPr>
              <w:spacing w:before="120" w:after="60" w:line="360" w:lineRule="auto"/>
              <w:rPr>
                <w:rFonts w:ascii="Helvetica LT Std" w:hAnsi="Helvetica LT Std" w:cs="Arial"/>
                <w:sz w:val="18"/>
                <w:szCs w:val="18"/>
              </w:rPr>
            </w:pPr>
            <w:r>
              <w:rPr>
                <w:rFonts w:ascii="Helvetica LT Std" w:hAnsi="Helvetica LT Std"/>
                <w:sz w:val="18"/>
              </w:rPr>
              <w:t xml:space="preserve">Pizgarrien </w:t>
            </w:r>
            <w:r>
              <w:rPr>
                <w:rFonts w:ascii="Helvetica LT Std" w:hAnsi="Helvetica LT Std"/>
                <w:sz w:val="18"/>
              </w:rPr>
              <w:br/>
              <w:t>1. programa</w:t>
            </w:r>
          </w:p>
        </w:tc>
        <w:tc>
          <w:tcPr>
            <w:tcW w:w="2468" w:type="dxa"/>
          </w:tcPr>
          <w:p w14:paraId="512D799F" w14:textId="2B81E075" w:rsidR="001568BD" w:rsidRPr="001568BD" w:rsidRDefault="001568BD" w:rsidP="001568BD">
            <w:pPr>
              <w:spacing w:before="120" w:after="60" w:line="360" w:lineRule="auto"/>
              <w:jc w:val="center"/>
              <w:rPr>
                <w:rFonts w:ascii="Helvetica LT Std" w:hAnsi="Helvetica LT Std" w:cs="Arial"/>
                <w:sz w:val="18"/>
                <w:szCs w:val="18"/>
              </w:rPr>
            </w:pPr>
            <w:r>
              <w:rPr>
                <w:rFonts w:ascii="Helvetica LT Std" w:hAnsi="Helvetica LT Std"/>
                <w:sz w:val="18"/>
              </w:rPr>
              <w:t>% 35</w:t>
            </w:r>
          </w:p>
        </w:tc>
        <w:tc>
          <w:tcPr>
            <w:tcW w:w="2302" w:type="dxa"/>
          </w:tcPr>
          <w:p w14:paraId="589F9E67" w14:textId="7652EE2C" w:rsidR="001568BD" w:rsidRPr="001568BD" w:rsidRDefault="001568BD" w:rsidP="001568BD">
            <w:pPr>
              <w:spacing w:before="120" w:after="60" w:line="360" w:lineRule="auto"/>
              <w:jc w:val="center"/>
              <w:rPr>
                <w:rFonts w:ascii="Helvetica LT Std" w:hAnsi="Helvetica LT Std" w:cs="Arial"/>
                <w:sz w:val="18"/>
                <w:szCs w:val="18"/>
              </w:rPr>
            </w:pPr>
            <w:r>
              <w:rPr>
                <w:rFonts w:ascii="Helvetica LT Std" w:hAnsi="Helvetica LT Std"/>
                <w:sz w:val="18"/>
              </w:rPr>
              <w:t>% 40</w:t>
            </w:r>
          </w:p>
        </w:tc>
        <w:tc>
          <w:tcPr>
            <w:tcW w:w="2303" w:type="dxa"/>
          </w:tcPr>
          <w:p w14:paraId="7E8CC6DB" w14:textId="1C23EE0E" w:rsidR="001568BD" w:rsidRPr="001568BD" w:rsidRDefault="001568BD" w:rsidP="001568BD">
            <w:pPr>
              <w:spacing w:before="120" w:after="60" w:line="360" w:lineRule="auto"/>
              <w:jc w:val="center"/>
              <w:rPr>
                <w:rFonts w:ascii="Helvetica LT Std" w:hAnsi="Helvetica LT Std" w:cs="Arial"/>
                <w:sz w:val="18"/>
                <w:szCs w:val="18"/>
              </w:rPr>
            </w:pPr>
            <w:r>
              <w:rPr>
                <w:rFonts w:ascii="Helvetica LT Std" w:hAnsi="Helvetica LT Std"/>
                <w:sz w:val="18"/>
              </w:rPr>
              <w:t>% 45</w:t>
            </w:r>
          </w:p>
        </w:tc>
      </w:tr>
    </w:tbl>
    <w:p w14:paraId="0F6F76DF" w14:textId="77777777" w:rsidR="001568BD" w:rsidRDefault="001568BD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61979E1C" w14:textId="77777777" w:rsidR="001568BD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Pizgarrien 2. programarako dirulaguntzaren zenbatekoaren oinarria diruz lagundu daitekeen kostuaren % 70 izanen da.</w:t>
      </w:r>
    </w:p>
    <w:p w14:paraId="6B38DD6E" w14:textId="77777777" w:rsidR="001568BD" w:rsidRDefault="009677F4" w:rsidP="009677F4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Azkenik, Erronka Demografikoko udalerrietan gauzatzen diren jarduketen kasuan, diruz lagundu daitekeen kostuari aplikatzen ahalko zaion laguntzaren portzentajea 5 portzentaje puntu handituko da. Hori laguntza osagarri gisa definitzen da.</w:t>
      </w:r>
    </w:p>
    <w:p w14:paraId="60A9C8E7" w14:textId="77777777" w:rsidR="001568BD" w:rsidRDefault="005C57FC" w:rsidP="001C1E70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Hori guztia jakinarazten dizut, Nafarroako Parlamentuko Erregelamenduaren 215. artikulua betez.</w:t>
      </w:r>
    </w:p>
    <w:p w14:paraId="08B69E84" w14:textId="01135E88" w:rsidR="001568BD" w:rsidRDefault="007C0BA1" w:rsidP="001568BD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 xml:space="preserve">Iruñean, </w:t>
      </w:r>
      <w:r w:rsidR="00D609A7">
        <w:rPr>
          <w:rFonts w:ascii="DejaVu Serif Condensed" w:hAnsi="DejaVu Serif Condensed"/>
          <w:sz w:val="24"/>
        </w:rPr>
        <w:t>2023ko azaroaren 21ean</w:t>
      </w:r>
    </w:p>
    <w:p w14:paraId="3D9F60D1" w14:textId="2162B8AB" w:rsidR="005E442E" w:rsidRPr="007C0BA1" w:rsidRDefault="001568BD" w:rsidP="001568BD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</w:rPr>
        <w:t>Industriako eta Enpresen Trantsizio Ekologiko eta Digitalerako kontseilaria: Mikel Irujo Amezaga</w:t>
      </w:r>
    </w:p>
    <w:sectPr w:rsidR="005E442E" w:rsidRPr="007C0BA1" w:rsidSect="001568BD">
      <w:headerReference w:type="default" r:id="rId8"/>
      <w:pgSz w:w="11907" w:h="16840" w:code="9"/>
      <w:pgMar w:top="2268" w:right="1134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B1F8" w14:textId="77777777" w:rsidR="00661BE5" w:rsidRDefault="00661BE5" w:rsidP="00805581">
      <w:r>
        <w:separator/>
      </w:r>
    </w:p>
  </w:endnote>
  <w:endnote w:type="continuationSeparator" w:id="0">
    <w:p w14:paraId="0B32AA69" w14:textId="77777777" w:rsidR="00661BE5" w:rsidRDefault="00661BE5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2588" w14:textId="77777777" w:rsidR="00661BE5" w:rsidRDefault="00661BE5" w:rsidP="00805581">
      <w:r>
        <w:separator/>
      </w:r>
    </w:p>
  </w:footnote>
  <w:footnote w:type="continuationSeparator" w:id="0">
    <w:p w14:paraId="195DA6A7" w14:textId="77777777" w:rsidR="00661BE5" w:rsidRDefault="00661BE5" w:rsidP="0080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C34E" w14:textId="3526013A" w:rsidR="00DF566E" w:rsidRDefault="00DF566E" w:rsidP="0055338A">
    <w:pPr>
      <w:pStyle w:val="Encabezado"/>
    </w:pPr>
  </w:p>
  <w:p w14:paraId="512D4AEC" w14:textId="77777777" w:rsidR="00DF566E" w:rsidRDefault="00DF566E" w:rsidP="0055338A">
    <w:pPr>
      <w:pStyle w:val="Encabezado"/>
    </w:pPr>
  </w:p>
  <w:p w14:paraId="51A0136E" w14:textId="0E09E07F" w:rsidR="00DF566E" w:rsidRDefault="00DF566E" w:rsidP="00DF566E">
    <w:pPr>
      <w:pStyle w:val="Encabezado"/>
    </w:pPr>
  </w:p>
  <w:p w14:paraId="051638AF" w14:textId="77777777" w:rsidR="00DF566E" w:rsidRPr="0055338A" w:rsidRDefault="00DF566E" w:rsidP="005533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591"/>
    <w:multiLevelType w:val="hybridMultilevel"/>
    <w:tmpl w:val="F55A1F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1B8331D2"/>
    <w:multiLevelType w:val="hybridMultilevel"/>
    <w:tmpl w:val="52CA9696"/>
    <w:lvl w:ilvl="0" w:tplc="FC0C1496">
      <w:start w:val="1"/>
      <w:numFmt w:val="bullet"/>
      <w:lvlText w:val="-"/>
      <w:lvlJc w:val="left"/>
      <w:pPr>
        <w:ind w:left="1068" w:hanging="360"/>
      </w:pPr>
      <w:rPr>
        <w:rFonts w:ascii="DejaVu Serif Condensed" w:eastAsia="Times New Roman" w:hAnsi="DejaVu Serif Condense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4C3F3EF5"/>
    <w:multiLevelType w:val="hybridMultilevel"/>
    <w:tmpl w:val="FD80A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47FD8"/>
    <w:multiLevelType w:val="hybridMultilevel"/>
    <w:tmpl w:val="CBCCF286"/>
    <w:lvl w:ilvl="0" w:tplc="FC0C1496">
      <w:start w:val="1"/>
      <w:numFmt w:val="bullet"/>
      <w:lvlText w:val="-"/>
      <w:lvlJc w:val="left"/>
      <w:pPr>
        <w:ind w:left="1068" w:hanging="360"/>
      </w:pPr>
      <w:rPr>
        <w:rFonts w:ascii="DejaVu Serif Condensed" w:eastAsia="Times New Roman" w:hAnsi="DejaVu Serif Condense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num w:numId="1" w16cid:durableId="59987678">
    <w:abstractNumId w:val="3"/>
  </w:num>
  <w:num w:numId="2" w16cid:durableId="1213535740">
    <w:abstractNumId w:val="1"/>
  </w:num>
  <w:num w:numId="3" w16cid:durableId="545216468">
    <w:abstractNumId w:val="6"/>
  </w:num>
  <w:num w:numId="4" w16cid:durableId="465246853">
    <w:abstractNumId w:val="0"/>
  </w:num>
  <w:num w:numId="5" w16cid:durableId="679240216">
    <w:abstractNumId w:val="4"/>
  </w:num>
  <w:num w:numId="6" w16cid:durableId="108088258">
    <w:abstractNumId w:val="2"/>
  </w:num>
  <w:num w:numId="7" w16cid:durableId="148521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47109"/>
    <w:rsid w:val="00061227"/>
    <w:rsid w:val="00061978"/>
    <w:rsid w:val="000747BF"/>
    <w:rsid w:val="000C24EC"/>
    <w:rsid w:val="000C2BAE"/>
    <w:rsid w:val="00144ADF"/>
    <w:rsid w:val="0015364A"/>
    <w:rsid w:val="001568BD"/>
    <w:rsid w:val="00187E82"/>
    <w:rsid w:val="001C10F8"/>
    <w:rsid w:val="001C1E70"/>
    <w:rsid w:val="001E7D6B"/>
    <w:rsid w:val="001F34F3"/>
    <w:rsid w:val="00206E77"/>
    <w:rsid w:val="00207D6A"/>
    <w:rsid w:val="00235E3A"/>
    <w:rsid w:val="00264D61"/>
    <w:rsid w:val="00266A20"/>
    <w:rsid w:val="002F02F2"/>
    <w:rsid w:val="00302F80"/>
    <w:rsid w:val="003217FB"/>
    <w:rsid w:val="00366908"/>
    <w:rsid w:val="00377151"/>
    <w:rsid w:val="003A0CE7"/>
    <w:rsid w:val="0040150F"/>
    <w:rsid w:val="00462CA9"/>
    <w:rsid w:val="00491B64"/>
    <w:rsid w:val="004B5C04"/>
    <w:rsid w:val="004C3705"/>
    <w:rsid w:val="0055338A"/>
    <w:rsid w:val="00564CC7"/>
    <w:rsid w:val="005C36E7"/>
    <w:rsid w:val="005C57FC"/>
    <w:rsid w:val="005D3701"/>
    <w:rsid w:val="005E442E"/>
    <w:rsid w:val="00632DDC"/>
    <w:rsid w:val="006360EF"/>
    <w:rsid w:val="00654E5C"/>
    <w:rsid w:val="00661BE5"/>
    <w:rsid w:val="006E1A20"/>
    <w:rsid w:val="007019AA"/>
    <w:rsid w:val="00730366"/>
    <w:rsid w:val="007B5B6D"/>
    <w:rsid w:val="007C0BA1"/>
    <w:rsid w:val="00800A18"/>
    <w:rsid w:val="00805581"/>
    <w:rsid w:val="008303D7"/>
    <w:rsid w:val="00857FEB"/>
    <w:rsid w:val="00872BB8"/>
    <w:rsid w:val="00883CCB"/>
    <w:rsid w:val="0088757F"/>
    <w:rsid w:val="00901F02"/>
    <w:rsid w:val="00915D78"/>
    <w:rsid w:val="00924421"/>
    <w:rsid w:val="00932262"/>
    <w:rsid w:val="00950A82"/>
    <w:rsid w:val="009620D6"/>
    <w:rsid w:val="009677F4"/>
    <w:rsid w:val="009A0F11"/>
    <w:rsid w:val="009C585B"/>
    <w:rsid w:val="009F2469"/>
    <w:rsid w:val="00A23304"/>
    <w:rsid w:val="00A701BE"/>
    <w:rsid w:val="00B14F8A"/>
    <w:rsid w:val="00B21C31"/>
    <w:rsid w:val="00B677B2"/>
    <w:rsid w:val="00B7603A"/>
    <w:rsid w:val="00B919AD"/>
    <w:rsid w:val="00B95259"/>
    <w:rsid w:val="00BA0FC9"/>
    <w:rsid w:val="00BD62C4"/>
    <w:rsid w:val="00C01890"/>
    <w:rsid w:val="00C76255"/>
    <w:rsid w:val="00CD2D9F"/>
    <w:rsid w:val="00CF554E"/>
    <w:rsid w:val="00D562E4"/>
    <w:rsid w:val="00D609A7"/>
    <w:rsid w:val="00D83E62"/>
    <w:rsid w:val="00DD3120"/>
    <w:rsid w:val="00DD4A22"/>
    <w:rsid w:val="00DE5C78"/>
    <w:rsid w:val="00DF566E"/>
    <w:rsid w:val="00E01BCD"/>
    <w:rsid w:val="00E2075A"/>
    <w:rsid w:val="00E42E78"/>
    <w:rsid w:val="00E447D7"/>
    <w:rsid w:val="00E55333"/>
    <w:rsid w:val="00EA380B"/>
    <w:rsid w:val="00F06E1A"/>
    <w:rsid w:val="00F25A76"/>
    <w:rsid w:val="00F307AE"/>
    <w:rsid w:val="00F96648"/>
    <w:rsid w:val="00FC729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87A5938"/>
  <w15:chartTrackingRefBased/>
  <w15:docId w15:val="{23BD8B6D-8273-4ECB-9D3C-D21E95D0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u-ES"/>
    </w:rPr>
  </w:style>
  <w:style w:type="paragraph" w:styleId="Piedepgina">
    <w:name w:val="footer"/>
    <w:basedOn w:val="Normal"/>
    <w:link w:val="PiedepginaCar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05581"/>
    <w:rPr>
      <w:lang w:val="eu-ES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u-ES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table" w:styleId="Tablaconcuadrcula">
    <w:name w:val="Table Grid"/>
    <w:basedOn w:val="Tablanormal"/>
    <w:rsid w:val="00156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E355-FD19-40F3-9ED4-8964E156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2352</Characters>
  <Application>Microsoft Office Word</Application>
  <DocSecurity>0</DocSecurity>
  <Lines>235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2598</CharactersWithSpaces>
  <SharedDoc>false</SharedDoc>
  <HLinks>
    <vt:vector size="6" baseType="variant">
      <vt:variant>
        <vt:i4>7864349</vt:i4>
      </vt:variant>
      <vt:variant>
        <vt:i4>4145</vt:i4>
      </vt:variant>
      <vt:variant>
        <vt:i4>1025</vt:i4>
      </vt:variant>
      <vt:variant>
        <vt:i4>1</vt:i4>
      </vt:variant>
      <vt:variant>
        <vt:lpwstr>cid:image004.jpg@01DA170E.BC8DEDD0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Martin Cestao, Nerea</cp:lastModifiedBy>
  <cp:revision>5</cp:revision>
  <cp:lastPrinted>2023-10-06T09:20:00Z</cp:lastPrinted>
  <dcterms:created xsi:type="dcterms:W3CDTF">2023-11-21T14:26:00Z</dcterms:created>
  <dcterms:modified xsi:type="dcterms:W3CDTF">2024-02-13T12:07:00Z</dcterms:modified>
</cp:coreProperties>
</file>