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2EE6" w14:textId="7D092B0B" w:rsidR="00A75AD6" w:rsidRPr="007C0BA1" w:rsidRDefault="00F4489D" w:rsidP="00F4489D">
      <w:pPr>
        <w:spacing w:line="360" w:lineRule="auto"/>
        <w:ind w:right="282"/>
        <w:jc w:val="both"/>
        <w:rPr>
          <w:sz w:val="24"/>
          <w:szCs w:val="24"/>
          <w:rFonts w:ascii="DejaVu Serif Condensed" w:hAnsi="DejaVu Serif Condensed"/>
        </w:rPr>
      </w:pPr>
      <w:r>
        <w:rPr>
          <w:sz w:val="24"/>
          <w:rFonts w:ascii="DejaVu Serif Condensed" w:hAnsi="DejaVu Serif Condensed"/>
        </w:rPr>
        <w:t xml:space="preserve">Azaroaren 20a</w:t>
      </w:r>
    </w:p>
    <w:p w14:paraId="6DB3300D" w14:textId="2FD47C95" w:rsidR="00F4489D" w:rsidRDefault="00E3053A" w:rsidP="00F4489D">
      <w:pPr>
        <w:spacing w:line="360" w:lineRule="auto"/>
        <w:jc w:val="both"/>
        <w:rPr>
          <w:sz w:val="24"/>
          <w:szCs w:val="24"/>
          <w:rFonts w:ascii="DejaVu Serif Condensed" w:hAnsi="DejaVu Serif Condensed"/>
        </w:rPr>
      </w:pPr>
      <w:r>
        <w:rPr>
          <w:sz w:val="24"/>
          <w:rFonts w:ascii="DejaVu Serif Condensed" w:hAnsi="DejaVu Serif Condensed"/>
        </w:rPr>
        <w:t xml:space="preserve">EH Bildu Nafarroa talde parlamentarioari atxikitako foru parlamentari Txomin González Martinez jaunak idatziz erantzuteko galdera egin du zuzeneko antikoagulatzaileei buruz (11--23/PES-00161). Hona Nafarroako Gobernuko Osasuneko kontseilariak ematen duen informazioa:</w:t>
      </w:r>
    </w:p>
    <w:p w14:paraId="4F9BB616"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1.- Aurikula fibrilazio ez balbularra duten pazienteei bermatzea eragin zuzeneko ahotiko antikoagulatzaileak eskuratzea, Europako eta Espainiako praktika klinikoko giden gomendioekin bat.</w:t>
      </w:r>
    </w:p>
    <w:p w14:paraId="19DF893F" w14:textId="77777777" w:rsidR="00F4489D" w:rsidRDefault="00133653" w:rsidP="00133653">
      <w:pPr>
        <w:pStyle w:val="Default"/>
        <w:spacing w:line="360" w:lineRule="auto"/>
        <w:jc w:val="both"/>
        <w:rPr>
          <w:iCs/>
          <w:rFonts w:ascii="DejaVu Serif Condensed" w:hAnsi="DejaVu Serif Condensed"/>
        </w:rPr>
      </w:pPr>
      <w:r>
        <w:rPr>
          <w:rFonts w:ascii="DejaVu Serif Condensed" w:hAnsi="DejaVu Serif Condensed"/>
        </w:rPr>
        <w:t xml:space="preserve">Kardiologiaren Europako Sozietatearen gidak, Kardiologiaren Espainiako Sozietateak erabiltzen duenak, jaso egiten ditu bai K bitaminaren antagonistak (AVK) erabiltzea INRaren kontrol egokia eginda bai eragin zuzeneko ahotiko antikoagulatzaileak erabiltzea, eta gomendatzen du ahal dela azken horiek lehenestea.</w:t>
      </w:r>
    </w:p>
    <w:p w14:paraId="4DA0A9E0" w14:textId="77777777" w:rsidR="00F4489D" w:rsidRDefault="00133653" w:rsidP="00133653">
      <w:pPr>
        <w:pStyle w:val="Default"/>
        <w:spacing w:line="360" w:lineRule="auto"/>
        <w:jc w:val="both"/>
        <w:rPr>
          <w:iCs/>
          <w:color w:val="auto"/>
          <w:rFonts w:ascii="DejaVu Serif Condensed" w:hAnsi="DejaVu Serif Condensed"/>
        </w:rPr>
      </w:pPr>
      <w:r>
        <w:rPr>
          <w:rFonts w:ascii="DejaVu Serif Condensed" w:hAnsi="DejaVu Serif Condensed"/>
        </w:rPr>
        <w:t xml:space="preserve">Osasunbidea-Nafarroako Osasun Zerbitzuaren ikus-onesteko irizpideak bat datoz Osasun Produktuen Espainiako Agentziaren Posizionamendu Terapeutikoaren Txostenean (IPT) ezarritakoarekin, hau da, jotzen da ezen, nahiz eta AVK-k lehenengo aukera izaten jarraitu, eragin zuzeneko ahotiko antikoagulatzaileak baimentzen direla inguruabar jakin batzuetarako.</w:t>
      </w:r>
      <w:r>
        <w:rPr>
          <w:rFonts w:ascii="DejaVu Serif Condensed" w:hAnsi="DejaVu Serif Condensed"/>
        </w:rPr>
        <w:t xml:space="preserve"> </w:t>
      </w:r>
      <w:r>
        <w:rPr>
          <w:color w:val="auto"/>
          <w:rFonts w:ascii="DejaVu Serif Condensed" w:hAnsi="DejaVu Serif Condensed"/>
        </w:rPr>
        <w:t xml:space="preserve">Zehazki, baimentzen da hasierako tratamendua eragin zuzeneko ahotiko antikoagulatzaileekin egitea garezur barneko odoljarioa izan duten pazienteen kasuan, garezur barneko odoljarioa izateko arrisku handia adierazten duen neuroirudia edota irizpide klinikoak dituzten eta iktus iskemikoa izan duten pazienteen kasuan, nahiz eta antikoagulazioa egokiro kontrolatu AVK bidezko tratamenduan dauden eta tronboenbolismo arterial larriak dituzten pazienteen kasuan eta, azkenik, nahiz eta irizpide terapeutikoak behar bezala bete antikoagulazioa tarte barruan (INR 2 eta 3 artean) mantendu ezin den pazienteen kasuan.</w:t>
      </w:r>
    </w:p>
    <w:p w14:paraId="072AAF3B"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2.- Eragin zuzeneko ahotiko antikoagulatzaileen bidezko ahotiko tratamendu antikoagulatzailearen hasiera malgutzea, aurikula-fibrilazio ez balbularra duten pazienteek iktusa eta/edo odol galera handiagoa pairatzeko arrisku handia erakusten dutenean, eta/edo K bitamina-antagonisten bidez antikoagulazioa lortzeko aukera gutxi dutenean.</w:t>
      </w:r>
    </w:p>
    <w:p w14:paraId="5B320E6D" w14:textId="77777777" w:rsidR="00F4489D" w:rsidRDefault="00133653" w:rsidP="00133653">
      <w:pPr>
        <w:pStyle w:val="Default"/>
        <w:spacing w:line="360" w:lineRule="auto"/>
        <w:jc w:val="both"/>
        <w:rPr>
          <w:iCs/>
          <w:color w:val="auto"/>
          <w:rFonts w:ascii="DejaVu Serif Condensed" w:hAnsi="DejaVu Serif Condensed"/>
        </w:rPr>
      </w:pPr>
      <w:r>
        <w:rPr>
          <w:rFonts w:ascii="DejaVu Serif Condensed" w:hAnsi="DejaVu Serif Condensed"/>
        </w:rPr>
        <w:t xml:space="preserve">Gomendio hori jadanik ari da gauzatzen, aipatutako IPTaren irizpideekin bat.</w:t>
      </w:r>
      <w:r>
        <w:rPr>
          <w:rFonts w:ascii="DejaVu Serif Condensed" w:hAnsi="DejaVu Serif Condensed"/>
        </w:rPr>
        <w:t xml:space="preserve"> </w:t>
      </w:r>
      <w:r>
        <w:rPr>
          <w:rFonts w:ascii="DejaVu Serif Condensed" w:hAnsi="DejaVu Serif Condensed"/>
        </w:rPr>
        <w:t xml:space="preserve">Hasiera batean onesten da zuzeneko eragineko ahotiko antikoagulatzaile bidezko tratamendua 1. puntuan adierazitako pazienteentzat.</w:t>
      </w:r>
      <w:r>
        <w:rPr>
          <w:rFonts w:ascii="DejaVu Serif Condensed" w:hAnsi="DejaVu Serif Condensed"/>
        </w:rPr>
        <w:t xml:space="preserve"> </w:t>
      </w:r>
      <w:r>
        <w:rPr>
          <w:color w:val="auto"/>
          <w:rFonts w:ascii="DejaVu Serif Condensed" w:hAnsi="DejaVu Serif Condensed"/>
        </w:rPr>
        <w:t xml:space="preserve">TRTaren (tarte barruko aldi terapeutikoa) portzentaje txikiko kasuetan, eta aurrez aipatutako egoera klinikoetan, zuzeneko eragineko ahotiko antikoagulatzaileetara aldatzea baimentzen da ikus onespena azkar eginda.</w:t>
      </w:r>
    </w:p>
    <w:p w14:paraId="4A2F4D0A"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3.- Hiru hilabetera jaistea K bitamina-antagonistetatik eragin zuzeneko ahotiko antikoagulatzaileetarako aldaketa baimentzeko epea K bitamina-antagonisten bidez antikoagulazioaren kontrol txarra duten pazienteekin.</w:t>
      </w:r>
    </w:p>
    <w:p w14:paraId="30BE0427" w14:textId="77777777" w:rsidR="00F4489D" w:rsidRDefault="00133653" w:rsidP="00133653">
      <w:pPr>
        <w:pStyle w:val="Default"/>
        <w:spacing w:line="360" w:lineRule="auto"/>
        <w:jc w:val="both"/>
        <w:rPr>
          <w:iCs/>
          <w:rFonts w:ascii="DejaVu Serif Condensed" w:hAnsi="DejaVu Serif Condensed"/>
        </w:rPr>
      </w:pPr>
      <w:r>
        <w:rPr>
          <w:rFonts w:ascii="DejaVu Serif Condensed" w:hAnsi="DejaVu Serif Condensed"/>
        </w:rPr>
        <w:t xml:space="preserve">Ez da murriztu.</w:t>
      </w:r>
      <w:r>
        <w:rPr>
          <w:rFonts w:ascii="DejaVu Serif Condensed" w:hAnsi="DejaVu Serif Condensed"/>
        </w:rPr>
        <w:t xml:space="preserve"> </w:t>
      </w:r>
      <w:r>
        <w:rPr>
          <w:rFonts w:ascii="DejaVu Serif Condensed" w:hAnsi="DejaVu Serif Condensed"/>
        </w:rPr>
        <w:t xml:space="preserve">IPTak emandako irizpideari eutsi zaio, eta berorrek ezartzen du balorazio aldirako gutxienez ere azken sei hilabeteak hartu behar direla, kanpo utzita lehenengo hilabeteko INRak (hasieran dosia doitu bada) eta ebakuntza kirurgikoen, ahoko ebakuntzen eta beste prozedura batzuen ondoriozko aldaketa aldiak.</w:t>
      </w:r>
    </w:p>
    <w:p w14:paraId="406917E9"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4.- Eragin zuzeneko ahotiko antikoagulatzaileek gaur egun behar duten ikuskapen-bisatua sinplifikatzea, geroagoko berrikusketa duen bisatu automatikora iraganez.</w:t>
      </w:r>
    </w:p>
    <w:p w14:paraId="6177A797" w14:textId="77777777" w:rsidR="00F4489D" w:rsidRDefault="00133653" w:rsidP="00133653">
      <w:pPr>
        <w:pStyle w:val="Default"/>
        <w:spacing w:line="360" w:lineRule="auto"/>
        <w:jc w:val="both"/>
        <w:rPr>
          <w:iCs/>
          <w:rFonts w:ascii="DejaVu Serif Condensed" w:hAnsi="DejaVu Serif Condensed"/>
        </w:rPr>
      </w:pPr>
      <w:r>
        <w:rPr>
          <w:rFonts w:ascii="DejaVu Serif Condensed" w:hAnsi="DejaVu Serif Condensed"/>
        </w:rPr>
        <w:t xml:space="preserve">Ez da ikus-onespen automatikoa ezarri zuzeneko eragineko ahotiko antikoagulatzaileetarako, ezta ikus-onespena behar duten beste medikamentu batzuetarako ere.</w:t>
      </w:r>
      <w:r>
        <w:rPr>
          <w:rFonts w:ascii="DejaVu Serif Condensed" w:hAnsi="DejaVu Serif Condensed"/>
        </w:rPr>
        <w:t xml:space="preserve"> </w:t>
      </w:r>
      <w:r>
        <w:rPr>
          <w:rFonts w:ascii="DejaVu Serif Condensed" w:hAnsi="DejaVu Serif Condensed"/>
        </w:rPr>
        <w:t xml:space="preserve">Bideragarritasun azterlan bat martxan da medikamentuen ikus-onespena automatizatzeko.</w:t>
      </w:r>
      <w:r>
        <w:rPr>
          <w:rFonts w:ascii="DejaVu Serif Condensed" w:hAnsi="DejaVu Serif Condensed"/>
        </w:rPr>
        <w:t xml:space="preserve"> </w:t>
      </w:r>
      <w:r>
        <w:rPr>
          <w:rFonts w:ascii="DejaVu Serif Condensed" w:hAnsi="DejaVu Serif Condensed"/>
        </w:rPr>
        <w:t xml:space="preserve">Oro har, medikuak eragin zuzeneko ahotiko antikoagulatzailearen beharra egokiro justifikatuz gero, eta IPTak ezarritako irizpideak betetzen badira, arin baimentzen da.</w:t>
      </w:r>
    </w:p>
    <w:p w14:paraId="36015A2F"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5.- Osasun arloko profesionalendako alerta sistema informatizatu bat ezartzea, garaiz identifikatu ahal izateko gaizki antikoagulatuta dauden pazienteak eta tratamendua aldatzeko neurriak aldatzeko.</w:t>
      </w:r>
    </w:p>
    <w:p w14:paraId="70D4CB69" w14:textId="77777777" w:rsidR="00F4489D" w:rsidRDefault="00133653" w:rsidP="00133653">
      <w:pPr>
        <w:spacing w:line="360" w:lineRule="auto"/>
        <w:jc w:val="both"/>
        <w:rPr>
          <w:sz w:val="24"/>
          <w:szCs w:val="24"/>
          <w:rFonts w:ascii="DejaVu Serif Condensed" w:hAnsi="DejaVu Serif Condensed" w:cs="Calibri"/>
        </w:rPr>
      </w:pPr>
      <w:r>
        <w:rPr>
          <w:sz w:val="24"/>
          <w:rFonts w:ascii="DejaVu Serif Condensed" w:hAnsi="DejaVu Serif Condensed"/>
        </w:rPr>
        <w:t xml:space="preserve">Ez da ezarri.</w:t>
      </w:r>
      <w:r>
        <w:rPr>
          <w:sz w:val="24"/>
          <w:rFonts w:ascii="DejaVu Serif Condensed" w:hAnsi="DejaVu Serif Condensed"/>
        </w:rPr>
        <w:t xml:space="preserve"> </w:t>
      </w:r>
      <w:r>
        <w:rPr>
          <w:sz w:val="24"/>
          <w:rFonts w:ascii="DejaVu Serif Condensed" w:hAnsi="DejaVu Serif Condensed"/>
        </w:rPr>
        <w:t xml:space="preserve">Laster eguneratuko da Antikoagulazioari buruzko gida eta arazo hori tratatzen ahalko da.</w:t>
      </w:r>
      <w:r>
        <w:rPr>
          <w:sz w:val="24"/>
          <w:rFonts w:ascii="DejaVu Serif Condensed" w:hAnsi="DejaVu Serif Condensed"/>
        </w:rPr>
        <w:t xml:space="preserve"> </w:t>
      </w:r>
      <w:r>
        <w:rPr>
          <w:sz w:val="24"/>
          <w:rFonts w:ascii="DejaVu Serif Condensed" w:hAnsi="DejaVu Serif Condensed"/>
        </w:rPr>
        <w:t xml:space="preserve">Egoki jotzen bada, bideragarritasun azterlan baten bidez aztertu behar da ikusteko zer produktu hartzen diren barne eta garapena planteatzeko.</w:t>
      </w:r>
    </w:p>
    <w:p w14:paraId="5DDADD49" w14:textId="77777777" w:rsidR="00F4489D" w:rsidRDefault="00133653" w:rsidP="00133653">
      <w:pPr>
        <w:spacing w:line="360" w:lineRule="auto"/>
        <w:jc w:val="both"/>
        <w:rPr>
          <w:sz w:val="24"/>
          <w:szCs w:val="24"/>
          <w:rFonts w:ascii="DejaVu Serif Condensed" w:hAnsi="DejaVu Serif Condensed" w:cs="Calibri"/>
        </w:rPr>
      </w:pPr>
      <w:r>
        <w:rPr>
          <w:sz w:val="24"/>
          <w:rFonts w:ascii="DejaVu Serif Condensed" w:hAnsi="DejaVu Serif Condensed"/>
        </w:rPr>
        <w:t xml:space="preserve">Nolanahi ere, antikoagulatutako paziente guztiei hurbileko jarraipena egiten zaie Oinarrizko Osasun Laguntzatik, eta, kasuan kasu, klinikaren arabera, Arreta Espezializatutik zaintza egiten da.</w:t>
      </w:r>
      <w:r>
        <w:rPr>
          <w:sz w:val="24"/>
          <w:rFonts w:ascii="DejaVu Serif Condensed" w:hAnsi="DejaVu Serif Condensed"/>
        </w:rPr>
        <w:t xml:space="preserve"> </w:t>
      </w:r>
      <w:r>
        <w:rPr>
          <w:sz w:val="24"/>
          <w:rFonts w:ascii="DejaVu Serif Condensed" w:hAnsi="DejaVu Serif Condensed"/>
        </w:rPr>
        <w:t xml:space="preserve">TRTa automatikoki kalkulatzen da Oinarrizko Osasun Laguntzaren historia klinikoan eta, hain zuzen, historia klinikoan jasotako txosten batean agertzen da.</w:t>
      </w:r>
    </w:p>
    <w:p w14:paraId="259B8C80"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6.- Kalitate auditoriak gehitzea iktusaren prebentzioan eta antikoagulazioaren kontrolean.</w:t>
      </w:r>
    </w:p>
    <w:p w14:paraId="02F1CE43" w14:textId="77777777" w:rsidR="00F4489D" w:rsidRDefault="00133653" w:rsidP="00133653">
      <w:pPr>
        <w:pStyle w:val="Prrafodelista"/>
        <w:spacing w:line="360" w:lineRule="auto"/>
        <w:ind w:left="0"/>
        <w:jc w:val="both"/>
        <w:rPr>
          <w:rFonts w:ascii="DejaVu Serif Condensed" w:hAnsi="DejaVu Serif Condensed" w:cs="Calibri"/>
        </w:rPr>
      </w:pPr>
      <w:r>
        <w:rPr>
          <w:rFonts w:ascii="DejaVu Serif Condensed" w:hAnsi="DejaVu Serif Condensed"/>
        </w:rPr>
        <w:t xml:space="preserve">Ez dira ezarri eta ez dago ezartzeko planik.</w:t>
      </w:r>
    </w:p>
    <w:p w14:paraId="5B2B168E" w14:textId="77777777" w:rsidR="00F4489D" w:rsidRDefault="00133653" w:rsidP="00133653">
      <w:pPr>
        <w:spacing w:line="360" w:lineRule="auto"/>
        <w:jc w:val="both"/>
        <w:rPr>
          <w:sz w:val="24"/>
          <w:szCs w:val="24"/>
          <w:rFonts w:ascii="DejaVu Serif Condensed" w:hAnsi="DejaVu Serif Condensed"/>
        </w:rPr>
      </w:pPr>
      <w:r>
        <w:rPr>
          <w:sz w:val="24"/>
          <w:rFonts w:ascii="DejaVu Serif Condensed" w:hAnsi="DejaVu Serif Condensed"/>
        </w:rPr>
        <w:t xml:space="preserve">7.- Antikoagulatutako pazienteen behatoki bat sortzea, bizitza errealeko datuak bildu ahal izateko.</w:t>
      </w:r>
    </w:p>
    <w:p w14:paraId="551F6E68" w14:textId="77777777" w:rsidR="00F4489D" w:rsidRDefault="00133653" w:rsidP="00133653">
      <w:pPr>
        <w:pStyle w:val="Prrafodelista"/>
        <w:spacing w:line="360" w:lineRule="auto"/>
        <w:ind w:left="0"/>
        <w:jc w:val="both"/>
        <w:rPr>
          <w:rFonts w:ascii="DejaVu Serif Condensed" w:hAnsi="DejaVu Serif Condensed" w:cs="Calibri"/>
        </w:rPr>
      </w:pPr>
      <w:r>
        <w:rPr>
          <w:rFonts w:ascii="DejaVu Serif Condensed" w:hAnsi="DejaVu Serif Condensed"/>
        </w:rPr>
        <w:t xml:space="preserve">Osasunbidearen Berrikuntza eta Antolaketa Ataletik azterlan bat sustatu zen, “Aurikula fibrilazio ez balbularrean K bitaminaren antagonistek zuzeneko eragineko ahotiko antikoagulatzaileen aurrean duten onura kliniko garbia” deritzona, eta Osasun Departamentuaren ikerketa proiektuak sustatzeko dirulaguntzen 2022ko deialdirako aurkeztu zen.</w:t>
      </w:r>
      <w:r>
        <w:rPr>
          <w:rFonts w:ascii="DejaVu Serif Condensed" w:hAnsi="DejaVu Serif Condensed"/>
        </w:rPr>
        <w:t xml:space="preserve"> </w:t>
      </w:r>
      <w:r>
        <w:rPr>
          <w:rFonts w:ascii="DejaVu Serif Condensed" w:hAnsi="DejaVu Serif Condensed"/>
        </w:rPr>
        <w:t xml:space="preserve">Atzera bota zen ez zuelako gainditu Ikerketaren Estatu Agentziaren puntuaziorako ebaketa puntua (Osasun Zuzendaritza Nagusiaren 1025/2022 Ebazpena).</w:t>
      </w:r>
    </w:p>
    <w:p w14:paraId="4B48FA3D" w14:textId="77777777" w:rsidR="00F4489D" w:rsidRDefault="00133653" w:rsidP="00133653">
      <w:pPr>
        <w:spacing w:line="360" w:lineRule="auto"/>
        <w:jc w:val="both"/>
        <w:rPr>
          <w:sz w:val="24"/>
          <w:szCs w:val="24"/>
          <w:rFonts w:ascii="DejaVu Serif Condensed" w:hAnsi="DejaVu Serif Condensed" w:cs="Calibri"/>
        </w:rPr>
      </w:pPr>
      <w:r>
        <w:rPr>
          <w:sz w:val="24"/>
          <w:rFonts w:ascii="DejaVu Serif Condensed" w:hAnsi="DejaVu Serif Condensed"/>
        </w:rPr>
        <w:t xml:space="preserve">Ez dago kronogramarik behatokia ezartzeko.</w:t>
      </w:r>
    </w:p>
    <w:p w14:paraId="3BE3BBE9" w14:textId="77777777" w:rsidR="00F4489D" w:rsidRDefault="00133653" w:rsidP="00133653">
      <w:pPr>
        <w:pStyle w:val="Default"/>
        <w:spacing w:line="360" w:lineRule="auto"/>
        <w:jc w:val="both"/>
        <w:rPr>
          <w:rFonts w:ascii="DejaVu Serif Condensed" w:hAnsi="DejaVu Serif Condensed"/>
        </w:rPr>
      </w:pPr>
      <w:r>
        <w:rPr>
          <w:rFonts w:ascii="DejaVu Serif Condensed" w:hAnsi="DejaVu Serif Condensed"/>
        </w:rPr>
        <w:t xml:space="preserve">Bestalde, adierazi behar da Sendagaien eta Osasun Produktuen Espainiako Agentzia eragin zuzeneko ahotiko antikoagulatzaileei buruzko Posizionamendu Terapeutikoaren Txostena berrikusten eta eguneratzen ari dela.</w:t>
      </w:r>
      <w:r>
        <w:rPr>
          <w:rFonts w:ascii="DejaVu Serif Condensed" w:hAnsi="DejaVu Serif Condensed"/>
        </w:rPr>
        <w:t xml:space="preserve"> </w:t>
      </w:r>
      <w:r>
        <w:rPr>
          <w:rFonts w:ascii="DejaVu Serif Condensed" w:hAnsi="DejaVu Serif Condensed"/>
        </w:rPr>
        <w:t xml:space="preserve">Argitaratzen den IPT berriaren arabera eguneratu edota berrikusiko dira irizpide berriak.</w:t>
      </w:r>
    </w:p>
    <w:p w14:paraId="3C40C6CF" w14:textId="77777777" w:rsidR="00F4489D" w:rsidRDefault="005C57FC" w:rsidP="001C1E70">
      <w:pPr>
        <w:spacing w:line="360" w:lineRule="auto"/>
        <w:jc w:val="both"/>
        <w:rPr>
          <w:sz w:val="24"/>
          <w:szCs w:val="24"/>
          <w:rFonts w:ascii="DejaVu Serif Condensed" w:hAnsi="DejaVu Serif Condensed"/>
        </w:rPr>
      </w:pPr>
      <w:r>
        <w:rPr>
          <w:sz w:val="24"/>
          <w:rFonts w:ascii="DejaVu Serif Condensed" w:hAnsi="DejaVu Serif Condensed"/>
        </w:rPr>
        <w:t xml:space="preserve">Hori guztia jakinarazten dizut, Nafarroako Parlamentuko Erregelamenduaren </w:t>
      </w:r>
      <w:r>
        <w:rPr>
          <w:sz w:val="24"/>
          <w:b/>
          <w:bCs/>
          <w:rFonts w:ascii="DejaVu Serif Condensed" w:hAnsi="DejaVu Serif Condensed"/>
        </w:rPr>
        <w:t xml:space="preserve">215. artikulua</w:t>
      </w:r>
      <w:r>
        <w:rPr>
          <w:sz w:val="24"/>
          <w:rFonts w:ascii="DejaVu Serif Condensed" w:hAnsi="DejaVu Serif Condensed"/>
        </w:rPr>
        <w:t xml:space="preserve"> betez.</w:t>
      </w:r>
    </w:p>
    <w:p w14:paraId="4FA10E08" w14:textId="77777777" w:rsidR="00F4489D" w:rsidRDefault="007C0BA1" w:rsidP="007C0BA1">
      <w:pPr>
        <w:spacing w:line="360" w:lineRule="auto"/>
        <w:jc w:val="center"/>
        <w:rPr>
          <w:sz w:val="24"/>
          <w:szCs w:val="24"/>
          <w:rFonts w:ascii="DejaVu Serif Condensed" w:hAnsi="DejaVu Serif Condensed"/>
        </w:rPr>
      </w:pPr>
      <w:r>
        <w:rPr>
          <w:sz w:val="24"/>
          <w:rFonts w:ascii="DejaVu Serif Condensed" w:hAnsi="DejaVu Serif Condensed"/>
        </w:rPr>
        <w:t xml:space="preserve">Iruñean, 2023ko azaroaren 16an</w:t>
      </w:r>
    </w:p>
    <w:p w14:paraId="660371F8" w14:textId="1A1462B3" w:rsidR="00F4489D" w:rsidRDefault="00F4489D" w:rsidP="00924421">
      <w:pPr>
        <w:spacing w:line="360" w:lineRule="auto"/>
        <w:jc w:val="center"/>
        <w:rPr>
          <w:sz w:val="24"/>
          <w:szCs w:val="24"/>
          <w:rFonts w:ascii="DejaVu Serif Condensed" w:hAnsi="DejaVu Serif Condensed"/>
        </w:rPr>
      </w:pPr>
      <w:r>
        <w:rPr>
          <w:sz w:val="24"/>
          <w:rFonts w:ascii="DejaVu Serif Condensed" w:hAnsi="DejaVu Serif Condensed"/>
        </w:rPr>
        <w:t xml:space="preserve">Osasuneko kontseilaria:</w:t>
      </w:r>
      <w:r>
        <w:rPr>
          <w:sz w:val="24"/>
          <w:rFonts w:ascii="DejaVu Serif Condensed" w:hAnsi="DejaVu Serif Condensed"/>
        </w:rPr>
        <w:t xml:space="preserve"> </w:t>
      </w:r>
      <w:r>
        <w:rPr>
          <w:sz w:val="24"/>
          <w:rFonts w:ascii="DejaVu Serif Condensed" w:hAnsi="DejaVu Serif Condensed"/>
        </w:rPr>
        <w:t xml:space="preserve">Fernando Domínguez Cunchillos</w:t>
      </w:r>
    </w:p>
    <w:p w14:paraId="24F0AFA6" w14:textId="70A43147" w:rsidR="005E442E" w:rsidRPr="007C0BA1" w:rsidRDefault="005E442E" w:rsidP="001C1E70">
      <w:pPr>
        <w:spacing w:line="360" w:lineRule="auto"/>
        <w:jc w:val="both"/>
        <w:rPr>
          <w:rFonts w:ascii="DejaVu Serif Condensed" w:hAnsi="DejaVu Serif Condensed"/>
          <w:sz w:val="24"/>
          <w:szCs w:val="24"/>
        </w:rPr>
      </w:pPr>
    </w:p>
    <w:sectPr w:rsidR="005E442E" w:rsidRPr="007C0BA1" w:rsidSect="00F4489D">
      <w:headerReference w:type="default" r:id="rId7"/>
      <w:pgSz w:w="11907" w:h="16840" w:code="9"/>
      <w:pgMar w:top="1843"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3028" w14:textId="77777777" w:rsidR="00340007" w:rsidRDefault="00340007" w:rsidP="00805581">
      <w:r>
        <w:separator/>
      </w:r>
    </w:p>
  </w:endnote>
  <w:endnote w:type="continuationSeparator" w:id="0">
    <w:p w14:paraId="7995BCD7" w14:textId="77777777" w:rsidR="00340007" w:rsidRDefault="00340007"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3D8F" w14:textId="77777777" w:rsidR="00340007" w:rsidRDefault="00340007" w:rsidP="00805581">
      <w:r>
        <w:separator/>
      </w:r>
    </w:p>
  </w:footnote>
  <w:footnote w:type="continuationSeparator" w:id="0">
    <w:p w14:paraId="00B166AC" w14:textId="77777777" w:rsidR="00340007" w:rsidRDefault="00340007"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ACFF" w14:textId="08FA8E67" w:rsidR="00805581" w:rsidRPr="00805581" w:rsidRDefault="00805581" w:rsidP="00E3053A">
    <w:pPr>
      <w:pStyle w:val="Encabezado"/>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151D"/>
    <w:multiLevelType w:val="hybridMultilevel"/>
    <w:tmpl w:val="6D409E60"/>
    <w:lvl w:ilvl="0" w:tplc="83C8241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49353FCE"/>
    <w:multiLevelType w:val="hybridMultilevel"/>
    <w:tmpl w:val="6D409E60"/>
    <w:lvl w:ilvl="0" w:tplc="83C8241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4DE46825"/>
    <w:multiLevelType w:val="hybridMultilevel"/>
    <w:tmpl w:val="D42E7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D13C50"/>
    <w:multiLevelType w:val="hybridMultilevel"/>
    <w:tmpl w:val="299C9B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835903"/>
    <w:multiLevelType w:val="hybridMultilevel"/>
    <w:tmpl w:val="235E36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2033372">
    <w:abstractNumId w:val="3"/>
  </w:num>
  <w:num w:numId="2" w16cid:durableId="32197489">
    <w:abstractNumId w:val="4"/>
  </w:num>
  <w:num w:numId="3" w16cid:durableId="1767269731">
    <w:abstractNumId w:val="2"/>
  </w:num>
  <w:num w:numId="4" w16cid:durableId="1256480472">
    <w:abstractNumId w:val="1"/>
  </w:num>
  <w:num w:numId="5" w16cid:durableId="146187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47109"/>
    <w:rsid w:val="00061227"/>
    <w:rsid w:val="00061978"/>
    <w:rsid w:val="000747BF"/>
    <w:rsid w:val="000C24EC"/>
    <w:rsid w:val="000C2BAE"/>
    <w:rsid w:val="000E6230"/>
    <w:rsid w:val="00133653"/>
    <w:rsid w:val="0015364A"/>
    <w:rsid w:val="00187E82"/>
    <w:rsid w:val="001C10F8"/>
    <w:rsid w:val="001C1E70"/>
    <w:rsid w:val="001E6DD3"/>
    <w:rsid w:val="001E7D6B"/>
    <w:rsid w:val="00207D6A"/>
    <w:rsid w:val="002219F8"/>
    <w:rsid w:val="00235E3A"/>
    <w:rsid w:val="00264D61"/>
    <w:rsid w:val="00265135"/>
    <w:rsid w:val="00266A20"/>
    <w:rsid w:val="002F586F"/>
    <w:rsid w:val="00302F80"/>
    <w:rsid w:val="003217FB"/>
    <w:rsid w:val="00340007"/>
    <w:rsid w:val="00377151"/>
    <w:rsid w:val="003A0CE7"/>
    <w:rsid w:val="0040150F"/>
    <w:rsid w:val="00417A8E"/>
    <w:rsid w:val="00462CA9"/>
    <w:rsid w:val="004706C3"/>
    <w:rsid w:val="00491B64"/>
    <w:rsid w:val="004B5C04"/>
    <w:rsid w:val="004C3705"/>
    <w:rsid w:val="00564CC7"/>
    <w:rsid w:val="005C36E7"/>
    <w:rsid w:val="005C57FC"/>
    <w:rsid w:val="005D3701"/>
    <w:rsid w:val="005E442E"/>
    <w:rsid w:val="00612049"/>
    <w:rsid w:val="00632DDC"/>
    <w:rsid w:val="006360EF"/>
    <w:rsid w:val="00654E5C"/>
    <w:rsid w:val="00682844"/>
    <w:rsid w:val="0070465B"/>
    <w:rsid w:val="00710669"/>
    <w:rsid w:val="00730366"/>
    <w:rsid w:val="007759A8"/>
    <w:rsid w:val="007B5B6D"/>
    <w:rsid w:val="007C0BA1"/>
    <w:rsid w:val="00800A18"/>
    <w:rsid w:val="00805581"/>
    <w:rsid w:val="008303D7"/>
    <w:rsid w:val="008350C3"/>
    <w:rsid w:val="00857FEB"/>
    <w:rsid w:val="00872BB8"/>
    <w:rsid w:val="00901F02"/>
    <w:rsid w:val="00915D78"/>
    <w:rsid w:val="00924421"/>
    <w:rsid w:val="00931453"/>
    <w:rsid w:val="00932262"/>
    <w:rsid w:val="00950A82"/>
    <w:rsid w:val="009620D6"/>
    <w:rsid w:val="009A0F11"/>
    <w:rsid w:val="009C585B"/>
    <w:rsid w:val="009F2469"/>
    <w:rsid w:val="00A23304"/>
    <w:rsid w:val="00A55A8D"/>
    <w:rsid w:val="00A701BE"/>
    <w:rsid w:val="00A710A7"/>
    <w:rsid w:val="00A75AD6"/>
    <w:rsid w:val="00AB4411"/>
    <w:rsid w:val="00AB5D48"/>
    <w:rsid w:val="00B7603A"/>
    <w:rsid w:val="00B95259"/>
    <w:rsid w:val="00BA0FC9"/>
    <w:rsid w:val="00BD62C4"/>
    <w:rsid w:val="00C01890"/>
    <w:rsid w:val="00CF5114"/>
    <w:rsid w:val="00CF554E"/>
    <w:rsid w:val="00D23AFB"/>
    <w:rsid w:val="00D83E62"/>
    <w:rsid w:val="00D90F67"/>
    <w:rsid w:val="00DD3120"/>
    <w:rsid w:val="00DD4A22"/>
    <w:rsid w:val="00DE5C78"/>
    <w:rsid w:val="00E01BCD"/>
    <w:rsid w:val="00E2075A"/>
    <w:rsid w:val="00E3053A"/>
    <w:rsid w:val="00E42E78"/>
    <w:rsid w:val="00E52549"/>
    <w:rsid w:val="00E55333"/>
    <w:rsid w:val="00EA380B"/>
    <w:rsid w:val="00EF6FA0"/>
    <w:rsid w:val="00F14FB5"/>
    <w:rsid w:val="00F25A76"/>
    <w:rsid w:val="00F307AE"/>
    <w:rsid w:val="00F4489D"/>
    <w:rsid w:val="00F92E0C"/>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7F8CA5"/>
  <w15:chartTrackingRefBased/>
  <w15:docId w15:val="{CF115A6A-6525-46A8-8F65-98B1435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styleId="Textodeglobo">
    <w:name w:val="Balloon Text"/>
    <w:basedOn w:val="Normal"/>
    <w:link w:val="TextodegloboCar"/>
    <w:rsid w:val="007759A8"/>
    <w:rPr>
      <w:rFonts w:ascii="Segoe UI" w:hAnsi="Segoe UI" w:cs="Segoe UI"/>
      <w:sz w:val="18"/>
      <w:szCs w:val="18"/>
    </w:rPr>
  </w:style>
  <w:style w:type="character" w:customStyle="1" w:styleId="TextodegloboCar">
    <w:name w:val="Texto de globo Car"/>
    <w:link w:val="Textodeglobo"/>
    <w:rsid w:val="007759A8"/>
    <w:rPr>
      <w:rFonts w:ascii="Segoe UI" w:hAnsi="Segoe UI" w:cs="Segoe UI"/>
      <w:sz w:val="18"/>
      <w:szCs w:val="18"/>
      <w:lang w:val="eu-ES"/>
    </w:rPr>
  </w:style>
  <w:style w:type="paragraph" w:styleId="Prrafodelista">
    <w:name w:val="List Paragraph"/>
    <w:basedOn w:val="Normal"/>
    <w:uiPriority w:val="34"/>
    <w:qFormat/>
    <w:rsid w:val="00417A8E"/>
    <w:pPr>
      <w:ind w:left="720"/>
      <w:contextualSpacing/>
    </w:pPr>
    <w:rPr>
      <w:sz w:val="24"/>
      <w:szCs w:val="24"/>
      <w:lang w:val="eu-ES"/>
    </w:rPr>
  </w:style>
  <w:style w:type="paragraph" w:customStyle="1" w:styleId="Default">
    <w:name w:val="Default"/>
    <w:rsid w:val="00417A8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cp:lastPrinted>2023-11-16T08:20:00Z</cp:lastPrinted>
  <dcterms:created xsi:type="dcterms:W3CDTF">2023-11-21T14:20:00Z</dcterms:created>
  <dcterms:modified xsi:type="dcterms:W3CDTF">2023-11-21T14:23:00Z</dcterms:modified>
</cp:coreProperties>
</file>