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E2B4A" w14:textId="28DA81E3" w:rsidR="00BB002A" w:rsidRPr="00BC61FA" w:rsidRDefault="00BC61FA" w:rsidP="00BC61FA">
      <w:pPr>
        <w:pStyle w:val="Style"/>
        <w:spacing w:before="100" w:beforeAutospacing="1" w:after="200" w:line="276" w:lineRule="auto"/>
        <w:ind w:firstLine="708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24PRO-4</w:t>
      </w:r>
    </w:p>
    <w:p w14:paraId="08AF5A97" w14:textId="3E82466A" w:rsidR="00BC61FA" w:rsidRDefault="00BC61FA" w:rsidP="00BC61FA">
      <w:pPr>
        <w:pStyle w:val="Style"/>
        <w:spacing w:before="100" w:beforeAutospacing="1" w:after="200" w:line="276" w:lineRule="auto"/>
        <w:ind w:left="708" w:right="1987"/>
        <w:jc w:val="both"/>
        <w:textAlignment w:val="baseline"/>
        <w:rPr>
          <w:bCs/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Foru-lege proposamena, Nafarroako Toki Administrazioari buruzko uztailaren 2ko 6/1990 Foru Legea aldatzekoa.</w:t>
      </w:r>
    </w:p>
    <w:p w14:paraId="7074DD9C" w14:textId="77777777" w:rsidR="00BC61FA" w:rsidRDefault="00BC61FA" w:rsidP="00BC61FA">
      <w:pPr>
        <w:pStyle w:val="Style"/>
        <w:spacing w:before="100" w:beforeAutospacing="1" w:after="200" w:line="276" w:lineRule="auto"/>
        <w:ind w:left="708" w:right="1987"/>
        <w:jc w:val="both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ZIOEN AZALPENA</w:t>
      </w:r>
      <w:r>
        <w:rPr>
          <w:sz w:val="22"/>
          <w:rFonts w:ascii="Calibri" w:hAnsi="Calibri"/>
        </w:rPr>
        <w:t xml:space="preserve"> </w:t>
      </w:r>
    </w:p>
    <w:p w14:paraId="5A5F6EDB" w14:textId="26C39EF4" w:rsidR="00BC61FA" w:rsidRDefault="00BC61FA" w:rsidP="00BC61FA">
      <w:pPr>
        <w:pStyle w:val="Style"/>
        <w:spacing w:before="100" w:beforeAutospacing="1" w:after="200" w:line="276" w:lineRule="auto"/>
        <w:ind w:left="708" w:right="1987"/>
        <w:jc w:val="both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Nekazaritza hitza latinez bi terminoz dago osatuta: agri eta cultura. Lehena ager-etik dator, zeinaren esanahia landa edo lurralde baita; bigarrena colere-tik eratorria da; hots, biztandu eta landu esanahiak biltzen dituena. Bada, nekazaritzak berebiziko garrantzia dauka herrialde baten garapen ekonomiko eta sozialarentzat, ingurune desberdinetan eragiten baitu.</w:t>
      </w:r>
      <w:r>
        <w:rPr>
          <w:sz w:val="22"/>
          <w:rFonts w:ascii="Calibri" w:hAnsi="Calibri"/>
        </w:rPr>
        <w:t xml:space="preserve"> </w:t>
      </w:r>
    </w:p>
    <w:p w14:paraId="2AC0F09B" w14:textId="0ECC9334" w:rsidR="00BC61FA" w:rsidRPr="00BC61FA" w:rsidRDefault="00BC61FA" w:rsidP="00BC61FA">
      <w:pPr>
        <w:pStyle w:val="Style"/>
        <w:spacing w:before="100" w:beforeAutospacing="1" w:after="200" w:line="276" w:lineRule="auto"/>
        <w:ind w:left="708" w:right="1987"/>
        <w:jc w:val="both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Izan ere, biztanleriari elikagaiak eskuratzen dizkie, enplegua sortu eta tokian tokiko ekonomia indartzen du, biodibertsitatea sustatzen du, basafauna babesten du, lagungarria da klima-aldaketa samurtzeko, natur baliabideak babesten ditu, osasuna eta ongizatea hobetzen ditu, berrikuntza eta garapen teknologikoaren pizgarri da, zeresana dauka elikadura-segurtasunean, nekazaritza-sektorearen esportazio eta inbertsioak bultzatzen ditu, merkatuan gora-beherak sortzen dituzten uzten eta zuren eskaintza areagotzen du, eta, halaber, honako funtzio hauek betetzen ditu nekazaritzak, bere garapenean:</w:t>
      </w:r>
      <w:r>
        <w:rPr>
          <w:sz w:val="22"/>
          <w:rFonts w:ascii="Calibri" w:hAnsi="Calibri"/>
        </w:rPr>
        <w:t xml:space="preserve"> </w:t>
      </w:r>
    </w:p>
    <w:p w14:paraId="5D9BECC9" w14:textId="04AE38AD" w:rsidR="00BB002A" w:rsidRPr="00BC61FA" w:rsidRDefault="00BC61FA" w:rsidP="000F4071">
      <w:pPr>
        <w:pStyle w:val="Style"/>
        <w:numPr>
          <w:ilvl w:val="0"/>
          <w:numId w:val="1"/>
        </w:numPr>
        <w:spacing w:before="100" w:beforeAutospacing="1" w:after="200" w:line="276" w:lineRule="auto"/>
        <w:ind w:leftChars="567" w:left="1569" w:rightChars="567" w:right="1247" w:hanging="322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Funtzio ekonomikoa: kontsumo-ondasunen ekoizpena garatzen du, eta haiek ekonomia dinamizatzen dute.</w:t>
      </w:r>
      <w:r>
        <w:rPr>
          <w:sz w:val="22"/>
          <w:rFonts w:ascii="Calibri" w:hAnsi="Calibri"/>
        </w:rPr>
        <w:t xml:space="preserve"> </w:t>
      </w:r>
    </w:p>
    <w:p w14:paraId="3D5C1887" w14:textId="299A7602" w:rsidR="00BB002A" w:rsidRPr="00BC61FA" w:rsidRDefault="00BC61FA" w:rsidP="000F4071">
      <w:pPr>
        <w:pStyle w:val="Style"/>
        <w:numPr>
          <w:ilvl w:val="0"/>
          <w:numId w:val="2"/>
        </w:numPr>
        <w:spacing w:before="100" w:beforeAutospacing="1" w:after="200" w:line="276" w:lineRule="auto"/>
        <w:ind w:leftChars="567" w:left="1573" w:rightChars="567" w:right="1247" w:hanging="326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Funtzio ekologikoa: lur-kudeaketa egokia eta paisaiaren harmonizazioa lantzen du.</w:t>
      </w:r>
      <w:r>
        <w:rPr>
          <w:sz w:val="22"/>
          <w:rFonts w:ascii="Calibri" w:hAnsi="Calibri"/>
        </w:rPr>
        <w:t xml:space="preserve"> </w:t>
      </w:r>
    </w:p>
    <w:p w14:paraId="18BFF59E" w14:textId="77777777" w:rsidR="00BC61FA" w:rsidRDefault="00BC61FA" w:rsidP="000F4071">
      <w:pPr>
        <w:pStyle w:val="Style"/>
        <w:numPr>
          <w:ilvl w:val="0"/>
          <w:numId w:val="2"/>
        </w:numPr>
        <w:spacing w:before="100" w:beforeAutospacing="1" w:after="200" w:line="276" w:lineRule="auto"/>
        <w:ind w:leftChars="567" w:left="1569" w:rightChars="567" w:right="1247" w:hanging="322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Funtzio soziala: Landa-bizitza eta landa-kulturaren taxuketa garatzen du.</w:t>
      </w:r>
      <w:r>
        <w:rPr>
          <w:sz w:val="22"/>
          <w:rFonts w:ascii="Calibri" w:hAnsi="Calibri"/>
        </w:rPr>
        <w:t xml:space="preserve"> </w:t>
      </w:r>
    </w:p>
    <w:p w14:paraId="531793B0" w14:textId="77777777" w:rsidR="00BC61FA" w:rsidRDefault="00BC61FA" w:rsidP="00BC61FA">
      <w:pPr>
        <w:pStyle w:val="Style"/>
        <w:spacing w:before="100" w:beforeAutospacing="1" w:after="200" w:line="276" w:lineRule="auto"/>
        <w:ind w:left="708" w:right="2002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Hortik eratortzen da maila guztietako administrazio publikoek –europarra, nazionala, Nafarroa-mailakoa eta tokikoa– nekazaritza babestu eta zaintzearen garrantzia, eta administrazio guztiek horretarako lanabesak eskueran izatearena.</w:t>
      </w:r>
      <w:r>
        <w:rPr>
          <w:sz w:val="22"/>
          <w:rFonts w:ascii="Calibri" w:hAnsi="Calibri"/>
        </w:rPr>
        <w:t xml:space="preserve"> </w:t>
      </w:r>
    </w:p>
    <w:p w14:paraId="1DBB9A87" w14:textId="526C818A" w:rsidR="00BC61FA" w:rsidRDefault="00BC61FA" w:rsidP="00BC61FA">
      <w:pPr>
        <w:pStyle w:val="Style"/>
        <w:spacing w:before="100" w:beforeAutospacing="1" w:after="200" w:line="276" w:lineRule="auto"/>
        <w:ind w:left="708" w:right="1992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Herri-ondasunek zeregin muntaduna betetzen dute Foru Komunitateko nekazaritzan eta landa-ingurunean; kontzeptu hori existitzen ez den beste erkidego batzuetan ez, baina bai, ordea, gure Komunitatean. Eta, Nafarroako Toki Administrazioaren uztailaren 2ko 6/1990 Foru Legearen 141. artikuluak ezartzen duenez: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"Herri ondasunei buruzko xedapen, administrazio, probetxamendu eraentza eta antolamendu ahalmenak toki-entitateei dagozkie", eta azken horiek arduratu behar dira herri-ondasunen ekoizpeneratze, hobetze eta aprobetxatze onenaz.</w:t>
      </w:r>
      <w:r>
        <w:rPr>
          <w:sz w:val="22"/>
          <w:rFonts w:ascii="Calibri" w:hAnsi="Calibri"/>
        </w:rPr>
        <w:t xml:space="preserve"> </w:t>
      </w:r>
    </w:p>
    <w:p w14:paraId="1940B64B" w14:textId="77777777" w:rsidR="00BC61FA" w:rsidRDefault="00BC61FA" w:rsidP="00BC61FA">
      <w:pPr>
        <w:pStyle w:val="Style"/>
        <w:spacing w:before="100" w:beforeAutospacing="1" w:after="200" w:line="276" w:lineRule="auto"/>
        <w:ind w:left="708" w:right="2011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Nekazaritzarako herri-lurren aprobetxamenduak hiru modalitate desberdinetan landuko dira:</w:t>
      </w:r>
      <w:r>
        <w:rPr>
          <w:sz w:val="22"/>
          <w:rFonts w:ascii="Calibri" w:hAnsi="Calibri"/>
        </w:rPr>
        <w:t xml:space="preserve"> </w:t>
      </w:r>
    </w:p>
    <w:p w14:paraId="64430567" w14:textId="77777777" w:rsidR="00BC61FA" w:rsidRDefault="00BC61FA" w:rsidP="00ED3F3C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• Lehentasunezko herritar-aprobetxamenduak.</w:t>
      </w:r>
      <w:r>
        <w:rPr>
          <w:sz w:val="22"/>
          <w:rFonts w:ascii="Calibri" w:hAnsi="Calibri"/>
        </w:rPr>
        <w:t xml:space="preserve"> </w:t>
      </w:r>
    </w:p>
    <w:p w14:paraId="535FE331" w14:textId="629E0C19" w:rsidR="00BB002A" w:rsidRPr="00BC61FA" w:rsidRDefault="00BC61FA" w:rsidP="00ED3F3C">
      <w:pPr>
        <w:pStyle w:val="Style"/>
        <w:numPr>
          <w:ilvl w:val="0"/>
          <w:numId w:val="3"/>
        </w:numPr>
        <w:spacing w:before="100" w:beforeAutospacing="1" w:after="200" w:line="276" w:lineRule="auto"/>
        <w:ind w:leftChars="567" w:left="1559" w:rightChars="567" w:right="1247" w:hanging="312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Zuzeneko esleipenezko herritar-aprobetxamenduak.</w:t>
      </w:r>
      <w:r>
        <w:rPr>
          <w:sz w:val="22"/>
          <w:rFonts w:ascii="Calibri" w:hAnsi="Calibri"/>
        </w:rPr>
        <w:t xml:space="preserve"> </w:t>
      </w:r>
    </w:p>
    <w:p w14:paraId="19D0161F" w14:textId="77777777" w:rsidR="00BC61FA" w:rsidRDefault="00BC61FA" w:rsidP="00ED3F3C">
      <w:pPr>
        <w:pStyle w:val="Style"/>
        <w:numPr>
          <w:ilvl w:val="0"/>
          <w:numId w:val="3"/>
        </w:numPr>
        <w:spacing w:before="100" w:beforeAutospacing="1" w:after="200" w:line="276" w:lineRule="auto"/>
        <w:ind w:leftChars="567" w:left="1573" w:rightChars="567" w:right="1247" w:hanging="326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Toki-entitateak eginiko zuzeneko ustiapena edo enkante publikozko esleipena.</w:t>
      </w:r>
      <w:r>
        <w:rPr>
          <w:sz w:val="22"/>
          <w:rFonts w:ascii="Calibri" w:hAnsi="Calibri"/>
        </w:rPr>
        <w:t xml:space="preserve"> </w:t>
      </w:r>
    </w:p>
    <w:p w14:paraId="51452C6B" w14:textId="6911EA3A" w:rsidR="00BC61FA" w:rsidRDefault="00BC61FA" w:rsidP="00BC61FA">
      <w:pPr>
        <w:pStyle w:val="Style"/>
        <w:spacing w:before="100" w:beforeAutospacing="1" w:after="200" w:line="276" w:lineRule="auto"/>
        <w:ind w:right="2011" w:firstLine="708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Baina kudeaketa hori legeak berak mugatua da; horrela, 149. artikuluak esaten du:</w:t>
      </w:r>
      <w:r>
        <w:rPr>
          <w:sz w:val="22"/>
          <w:b/>
          <w:rFonts w:ascii="Calibri" w:hAnsi="Calibri"/>
        </w:rPr>
        <w:t xml:space="preserve"> </w:t>
      </w:r>
    </w:p>
    <w:p w14:paraId="7B760A14" w14:textId="75360D70" w:rsidR="00BC61FA" w:rsidRDefault="00BC61FA" w:rsidP="00BC61FA">
      <w:pPr>
        <w:pStyle w:val="Style"/>
        <w:spacing w:before="100" w:beforeAutospacing="1" w:after="200" w:line="276" w:lineRule="auto"/>
        <w:ind w:left="708" w:right="2006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"Onuradunek ordaindu beharreko kanona toki-entitateek finkatuko dute eta horren zenbatekoa zonalde horretan antzeko lurrentzat dauden errentamendu prezioen ehuneko berrogeita hamar bitartekoa izan ahalko da.</w:t>
      </w:r>
      <w:r>
        <w:rPr>
          <w:sz w:val="22"/>
          <w:rFonts w:ascii="Calibri" w:hAnsi="Calibri"/>
        </w:rPr>
        <w:t xml:space="preserve"> </w:t>
      </w:r>
    </w:p>
    <w:p w14:paraId="59D90719" w14:textId="7107E746" w:rsidR="00BB002A" w:rsidRPr="00BC61FA" w:rsidRDefault="00BC61FA" w:rsidP="00BC61FA">
      <w:pPr>
        <w:pStyle w:val="Style"/>
        <w:spacing w:before="100" w:beforeAutospacing="1" w:after="200" w:line="276" w:lineRule="auto"/>
        <w:ind w:left="708" w:right="2006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Nolanahi ere, kanonak toki-entitateari eragindako kostuak kitatuko ditu gutxienez".</w:t>
      </w:r>
      <w:r>
        <w:rPr>
          <w:sz w:val="22"/>
          <w:rFonts w:ascii="Calibri" w:hAnsi="Calibri"/>
        </w:rPr>
        <w:t xml:space="preserve"> </w:t>
      </w:r>
    </w:p>
    <w:p w14:paraId="6A8723E0" w14:textId="77777777" w:rsidR="00BC61FA" w:rsidRDefault="00BC61FA" w:rsidP="00BC61FA">
      <w:pPr>
        <w:pStyle w:val="Style"/>
        <w:spacing w:before="100" w:beforeAutospacing="1" w:after="200" w:line="276" w:lineRule="auto"/>
        <w:ind w:right="2002" w:firstLine="708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Eta 152. artikuluak hauxe dio:</w:t>
      </w:r>
      <w:r>
        <w:rPr>
          <w:sz w:val="22"/>
          <w:rFonts w:ascii="Calibri" w:hAnsi="Calibri"/>
        </w:rPr>
        <w:t xml:space="preserve"> </w:t>
      </w:r>
    </w:p>
    <w:p w14:paraId="6FC47CDC" w14:textId="77777777" w:rsidR="00BC61FA" w:rsidRDefault="00BC61FA" w:rsidP="00BC61FA">
      <w:pPr>
        <w:pStyle w:val="Style"/>
        <w:spacing w:before="100" w:beforeAutospacing="1" w:after="200" w:line="276" w:lineRule="auto"/>
        <w:ind w:left="708" w:right="2002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"Lurzati beharra 145.etik 151.era bitarteko artikuluen arabera bete ondoren, geratzen diren laborantzako herri-lurrak, bai eta onuradunek zuzenean eta pertsonalki lantzen ez dituzten lurzatiak ere, herritarren artean zuzenean esleituko dira, zonaldean antzeko lurrek duten errentamendu prezioaren ehuneko laurogeita hamarra baino txikiagoa ez den prezioan".</w:t>
      </w:r>
    </w:p>
    <w:p w14:paraId="15C2CAA2" w14:textId="6942397A" w:rsidR="00BC61FA" w:rsidRDefault="00BC61FA" w:rsidP="00BC61FA">
      <w:pPr>
        <w:pStyle w:val="Style"/>
        <w:spacing w:before="100" w:beforeAutospacing="1" w:after="200" w:line="276" w:lineRule="auto"/>
        <w:ind w:left="708" w:right="2002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Ikusten dugunez, lege honekin toki-entitateek oso aukeramen murritza dute prezioak finkatzerakoan; horregatik, beharrezkoa da haiei malgutasun eta autonomia handiagoa ahalbidetzea herri-ondasunen kudeaketarako, sektoreari mesede egin eta komunitatearen onurarako izan daitezen; are gehiago, eguzki-plakak bezalako beste erabilera batzuetara bideratzearen ondoriozko diru-sarreren ondorioz udalaren altxorra hazten ari denean.</w:t>
      </w:r>
      <w:r>
        <w:rPr>
          <w:sz w:val="22"/>
          <w:rFonts w:ascii="Calibri" w:hAnsi="Calibri"/>
        </w:rPr>
        <w:t xml:space="preserve"> </w:t>
      </w:r>
    </w:p>
    <w:p w14:paraId="035C6DA7" w14:textId="20130C12" w:rsidR="00BC61FA" w:rsidRDefault="00BC61FA" w:rsidP="00BC61FA">
      <w:pPr>
        <w:pStyle w:val="Style"/>
        <w:spacing w:before="100" w:beforeAutospacing="1" w:after="200" w:line="276" w:lineRule="auto"/>
        <w:ind w:left="708" w:right="2002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Aurreko guztiaren ildotik, eta toki-entitateei herri-ondasunen prezioak ezartzeko aukeramen handiagoa ematearren, eta halatan nekazaritzaren garapena faboratze aldera, proposatzen da Nafarroako Toki Administrazioari buruzko uztailaren 2ko 6/1990 Foru Legea irakurketa bakarrean aldatzea, jarraian adierazitako moduan:</w:t>
      </w:r>
      <w:r>
        <w:rPr>
          <w:sz w:val="22"/>
          <w:rFonts w:ascii="Calibri" w:hAnsi="Calibri"/>
        </w:rPr>
        <w:t xml:space="preserve"> </w:t>
      </w:r>
    </w:p>
    <w:p w14:paraId="7760D5D2" w14:textId="38EF3FE8" w:rsidR="00BC61FA" w:rsidRDefault="00BC61FA" w:rsidP="00BC61FA">
      <w:pPr>
        <w:pStyle w:val="Style"/>
        <w:spacing w:before="100" w:beforeAutospacing="1" w:after="200" w:line="276" w:lineRule="auto"/>
        <w:ind w:left="708" w:right="1992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b/>
          <w:bCs/>
          <w:rFonts w:ascii="Calibri" w:hAnsi="Calibri"/>
        </w:rPr>
        <w:t xml:space="preserve">Lehen artikulua.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Nafarroako Toki Administrazioari buruzko uztailaren 2ko 6/1990 Foru Legearen 149. artikulua aldatzen da, eta testu hau izanen du aurrerantzean:</w:t>
      </w:r>
      <w:r>
        <w:rPr>
          <w:sz w:val="22"/>
          <w:rFonts w:ascii="Calibri" w:hAnsi="Calibri"/>
        </w:rPr>
        <w:t xml:space="preserve"> </w:t>
      </w:r>
    </w:p>
    <w:p w14:paraId="4CB83D20" w14:textId="5334BEE2" w:rsidR="00BB002A" w:rsidRPr="00BC61FA" w:rsidRDefault="00BC61FA" w:rsidP="00BC61FA">
      <w:pPr>
        <w:pStyle w:val="Style"/>
        <w:spacing w:before="100" w:beforeAutospacing="1" w:after="200" w:line="276" w:lineRule="auto"/>
        <w:ind w:left="708" w:right="1992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"Toki-entitateek ezarriko dute irabaziengatik ordaindu beharreko kanona, eta horren zenbatekoa izan ahalko da zona horretan antzeko lurrentzat dauden errentamendu-prezioen ehuneko hogeita hamar bitartekoa.</w:t>
      </w:r>
      <w:r>
        <w:rPr>
          <w:sz w:val="22"/>
          <w:rFonts w:ascii="Calibri" w:hAnsi="Calibri"/>
        </w:rPr>
        <w:t xml:space="preserve"> </w:t>
      </w:r>
    </w:p>
    <w:p w14:paraId="55BFF9CD" w14:textId="3A4D6C1F" w:rsidR="00BC61FA" w:rsidRDefault="00BC61FA" w:rsidP="00BC61FA">
      <w:pPr>
        <w:pStyle w:val="Style"/>
        <w:spacing w:before="100" w:beforeAutospacing="1" w:after="200" w:line="276" w:lineRule="auto"/>
        <w:ind w:left="708" w:right="1992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Nolanahi ere, kanonak gutxienez ere berdindu eginen ditu toki-entitateak jasandako kostuak".</w:t>
      </w:r>
      <w:r>
        <w:rPr>
          <w:sz w:val="22"/>
          <w:rFonts w:ascii="Calibri" w:hAnsi="Calibri"/>
        </w:rPr>
        <w:t xml:space="preserve"> </w:t>
      </w:r>
    </w:p>
    <w:p w14:paraId="71777C91" w14:textId="4856E4AE" w:rsidR="00BC61FA" w:rsidRDefault="00BC61FA" w:rsidP="00BC61FA">
      <w:pPr>
        <w:pStyle w:val="Style"/>
        <w:spacing w:before="100" w:beforeAutospacing="1" w:after="200" w:line="276" w:lineRule="auto"/>
        <w:ind w:left="708" w:right="1992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b/>
          <w:rFonts w:ascii="Calibri" w:hAnsi="Calibri"/>
        </w:rPr>
        <w:t xml:space="preserve">Bigarren artikulua.</w:t>
      </w:r>
      <w:r>
        <w:rPr>
          <w:sz w:val="22"/>
          <w:b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Nafarroako Toki Administrazioari buruzko uztailaren 2ko 6/1990 Foru Legearen 152. artikulua aldatzen da, eta testu hau izanen du aurrerantzean:</w:t>
      </w:r>
      <w:r>
        <w:rPr>
          <w:sz w:val="22"/>
          <w:rFonts w:ascii="Calibri" w:hAnsi="Calibri"/>
        </w:rPr>
        <w:t xml:space="preserve"> </w:t>
      </w:r>
    </w:p>
    <w:p w14:paraId="6AADD5AB" w14:textId="69F2E664" w:rsidR="00BC61FA" w:rsidRDefault="00BC61FA" w:rsidP="00BC61FA">
      <w:pPr>
        <w:pStyle w:val="Style"/>
        <w:spacing w:before="100" w:beforeAutospacing="1" w:after="200" w:line="276" w:lineRule="auto"/>
        <w:ind w:left="708" w:right="1992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"Lurzati beharra 145. artikulutik 151.era bitartekoen arabera ase ondoren, geratzen diren laborantzako herri-lurrak, bai eta onuradunek zuzenean eta pertsonalki lantzen ez dituzten lurzatiak ere, herritarren artean zuzenean esleituko dira, zona horretan antzeko lurrek duten errentamendu-prezioaren ehuneko berrogeita hamar baino txikiagoa ez den prezioan".</w:t>
      </w:r>
    </w:p>
    <w:p w14:paraId="76FCEC33" w14:textId="398D9DAD" w:rsidR="00BC61FA" w:rsidRDefault="00BC61FA" w:rsidP="00BC61FA">
      <w:pPr>
        <w:pStyle w:val="Style"/>
        <w:spacing w:before="100" w:beforeAutospacing="1" w:after="200" w:line="276" w:lineRule="auto"/>
        <w:ind w:right="2006" w:firstLine="708"/>
        <w:textAlignment w:val="baseline"/>
        <w:rPr>
          <w:b/>
          <w:sz w:val="22"/>
          <w:szCs w:val="22"/>
          <w:rFonts w:ascii="Calibri" w:eastAsia="Arial" w:hAnsi="Calibri" w:cs="Calibri"/>
        </w:rPr>
      </w:pPr>
      <w:r>
        <w:rPr>
          <w:b/>
          <w:sz w:val="22"/>
          <w:rFonts w:ascii="Calibri" w:hAnsi="Calibri"/>
        </w:rPr>
        <w:t xml:space="preserve">Azken xedapena.</w:t>
      </w:r>
    </w:p>
    <w:p w14:paraId="34F27D9B" w14:textId="7C714C9E" w:rsidR="00BC61FA" w:rsidRDefault="00BC61FA" w:rsidP="00BC61FA">
      <w:pPr>
        <w:pStyle w:val="Style"/>
        <w:spacing w:before="100" w:beforeAutospacing="1" w:after="200" w:line="276" w:lineRule="auto"/>
        <w:ind w:left="708" w:right="2006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lege honek Nafarroako Aldizkari Ofizialean argitara eman eta biharamunean hartuko du indarra.</w:t>
      </w:r>
      <w:r>
        <w:rPr>
          <w:sz w:val="22"/>
          <w:rFonts w:ascii="Calibri" w:hAnsi="Calibri"/>
        </w:rPr>
        <w:t xml:space="preserve"> </w:t>
      </w:r>
    </w:p>
    <w:sectPr w:rsidR="00BC61FA">
      <w:type w:val="continuous"/>
      <w:pgSz w:w="12240" w:h="20160"/>
      <w:pgMar w:top="360" w:right="475" w:bottom="360" w:left="489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C55109"/>
    <w:multiLevelType w:val="singleLevel"/>
    <w:tmpl w:val="06AE865C"/>
    <w:lvl w:ilvl="0">
      <w:numFmt w:val="bullet"/>
      <w:lvlText w:val=""/>
      <w:legacy w:legacy="1" w:legacySpace="0" w:legacyIndent="0"/>
      <w:lvlJc w:val="left"/>
      <w:rPr>
        <w:rFonts w:ascii="Symbol" w:hAnsi="Symbol" w:cs="Symbol" w:hint="default"/>
        <w:sz w:val="19"/>
        <w:szCs w:val="19"/>
      </w:rPr>
    </w:lvl>
  </w:abstractNum>
  <w:abstractNum w:abstractNumId="1" w15:restartNumberingAfterBreak="0">
    <w:nsid w:val="24951256"/>
    <w:multiLevelType w:val="singleLevel"/>
    <w:tmpl w:val="50E82B4C"/>
    <w:lvl w:ilvl="0">
      <w:numFmt w:val="bullet"/>
      <w:lvlText w:val=""/>
      <w:legacy w:legacy="1" w:legacySpace="0" w:legacyIndent="0"/>
      <w:lvlJc w:val="left"/>
      <w:rPr>
        <w:rFonts w:ascii="Symbol" w:hAnsi="Symbol" w:cs="Symbol" w:hint="default"/>
        <w:sz w:val="19"/>
        <w:szCs w:val="19"/>
      </w:rPr>
    </w:lvl>
  </w:abstractNum>
  <w:abstractNum w:abstractNumId="2" w15:restartNumberingAfterBreak="0">
    <w:nsid w:val="75C308D0"/>
    <w:multiLevelType w:val="singleLevel"/>
    <w:tmpl w:val="841CB70E"/>
    <w:lvl w:ilvl="0">
      <w:numFmt w:val="bullet"/>
      <w:lvlText w:val=""/>
      <w:legacy w:legacy="1" w:legacySpace="0" w:legacyIndent="0"/>
      <w:lvlJc w:val="left"/>
      <w:rPr>
        <w:rFonts w:ascii="Symbol" w:hAnsi="Symbol" w:cs="Symbol" w:hint="default"/>
        <w:sz w:val="19"/>
        <w:szCs w:val="19"/>
      </w:rPr>
    </w:lvl>
  </w:abstractNum>
  <w:num w:numId="1" w16cid:durableId="133842075">
    <w:abstractNumId w:val="0"/>
  </w:num>
  <w:num w:numId="2" w16cid:durableId="1265455960">
    <w:abstractNumId w:val="1"/>
  </w:num>
  <w:num w:numId="3" w16cid:durableId="1705591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02A"/>
    <w:rsid w:val="0004354F"/>
    <w:rsid w:val="000F4071"/>
    <w:rsid w:val="00453A6D"/>
    <w:rsid w:val="00BB002A"/>
    <w:rsid w:val="00BC61FA"/>
    <w:rsid w:val="00CD68B1"/>
    <w:rsid w:val="00D64BEA"/>
    <w:rsid w:val="00DC5A11"/>
    <w:rsid w:val="00ED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E9BF0"/>
  <w15:docId w15:val="{7B403C95-D952-46FF-9BCE-8C415C2D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790</Words>
  <Characters>4346</Characters>
  <Application>Microsoft Office Word</Application>
  <DocSecurity>0</DocSecurity>
  <Lines>36</Lines>
  <Paragraphs>10</Paragraphs>
  <ScaleCrop>false</ScaleCrop>
  <Company>HP Inc.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24PRO-4</dc:title>
  <dc:creator>informatica</dc:creator>
  <cp:keywords>CreatedByIRIS_Readiris_17.0</cp:keywords>
  <cp:lastModifiedBy>Aranaz, Carlota</cp:lastModifiedBy>
  <cp:revision>9</cp:revision>
  <dcterms:created xsi:type="dcterms:W3CDTF">2024-04-10T11:42:00Z</dcterms:created>
  <dcterms:modified xsi:type="dcterms:W3CDTF">2024-04-12T07:45:00Z</dcterms:modified>
</cp:coreProperties>
</file>