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F2D1A" w14:textId="58DBA727" w:rsidR="006A34DD" w:rsidRPr="009A656D" w:rsidRDefault="00B07455" w:rsidP="009A656D">
      <w:pPr>
        <w:spacing w:before="100" w:beforeAutospacing="1" w:after="100" w:afterAutospacing="1"/>
        <w:ind w:firstLine="708"/>
        <w:rPr>
          <w:szCs w:val="24"/>
        </w:rPr>
      </w:pPr>
      <w:r>
        <w:rPr>
          <w:color w:val="000000"/>
        </w:rPr>
        <w:t xml:space="preserve">Contigo Navarra-Zurekin Nafarroa talde parlamentarioari atxikitako foru parlamentari Carlos Guzmán Pérez jaunak  idatziz erantzuteko galdera egin du (11-24/PES-00001) Animalien eskubideak eta ongizatea babesteko martxoaren 28ko 7/2023 Legeari buruz. Hona hemen Landa Garapeneko eta Ingurumeneko kontseilariak horretaz ematen dion informazioa:</w:t>
      </w:r>
      <w:r>
        <w:rPr>
          <w:color w:val="000000"/>
        </w:rPr>
        <w:t xml:space="preserve"> </w:t>
      </w:r>
    </w:p>
    <w:p w14:paraId="7B5B7DF9" w14:textId="77777777" w:rsidR="00BC1F88" w:rsidRDefault="00325139" w:rsidP="009A656D">
      <w:pPr>
        <w:pStyle w:val="Default"/>
        <w:spacing w:line="360" w:lineRule="auto"/>
        <w:ind w:firstLine="540"/>
        <w:jc w:val="both"/>
      </w:pPr>
      <w:r>
        <w:t xml:space="preserve">Animalien eskubideak eta ongizatea babesteko martxoaren 28ko 7/2023 Legeak 40. artikuluan ezartzen duenez, autonomia erkidegoei dagokie protokoloak sortzea udal mugarteetan katu koloniak kudeatzeko programak ezartzeko erreferentziazko gutxieneko betekizunen eta prozeduren inguruan.</w:t>
      </w:r>
      <w:r>
        <w:t xml:space="preserve"> </w:t>
      </w:r>
    </w:p>
    <w:p w14:paraId="1A702C71" w14:textId="465D2E5D" w:rsidR="00BC1F88" w:rsidRDefault="00325139" w:rsidP="009A656D">
      <w:pPr>
        <w:pStyle w:val="Default"/>
        <w:spacing w:line="360" w:lineRule="auto"/>
        <w:ind w:firstLine="540"/>
        <w:jc w:val="both"/>
      </w:pPr>
      <w:r>
        <w:t xml:space="preserve">Lagun egiteko animaliak Nafarroan babesteari buruzko apirilaren 4ko 19/2019 Foru Legea garatzeko erregelamendua onesten duen urriaren 26ko 94/2022 Foru Dekretuak katu koloniei buruzko I. kapituluan (57-64. artikuluak, biak barne) arautzen du Nafarroan toki erakundeek katu kolonien inguruan egin behar duten kudeaketa.</w:t>
      </w:r>
      <w:r>
        <w:t xml:space="preserve"> </w:t>
      </w:r>
    </w:p>
    <w:p w14:paraId="28E128DB" w14:textId="7FFCA5C3" w:rsidR="00325139" w:rsidRPr="009A656D" w:rsidRDefault="00325139" w:rsidP="009A656D">
      <w:pPr>
        <w:pStyle w:val="Default"/>
        <w:spacing w:line="360" w:lineRule="auto"/>
        <w:ind w:firstLine="540"/>
        <w:jc w:val="both"/>
      </w:pPr>
      <w:r>
        <w:t xml:space="preserve">Azpimarratu behar da Nafarroa dela katu koloniak kudeatzeko prozedurak eta betekizunak arautu dituen autonomia erkidego bakarra, animalien babesari buruzko lege batean ezarritakoa erregelamenduz garatzen duen arau baten bitartez.</w:t>
      </w:r>
      <w:r>
        <w:t xml:space="preserve"> </w:t>
      </w:r>
    </w:p>
    <w:p w14:paraId="44F4CAE2" w14:textId="77777777" w:rsidR="00BC1F88" w:rsidRDefault="00325139" w:rsidP="009A656D">
      <w:pPr>
        <w:pStyle w:val="Default"/>
        <w:spacing w:line="360" w:lineRule="auto"/>
        <w:ind w:firstLine="540"/>
        <w:jc w:val="both"/>
      </w:pPr>
      <w:r>
        <w:t xml:space="preserve">Nafarroan araututakoak heldu egiten die 7/2023 Legeak ezartzen duenez katu koloniak kudeatzeko protokolo guztiek izan behar dituzten gutxieneko alderdiei.</w:t>
      </w:r>
      <w:r>
        <w:t xml:space="preserve"> </w:t>
      </w:r>
      <w:r>
        <w:t xml:space="preserve">Edonola ere, estatuko lege horren alderdietako batzuen kasuan, uste dugu are gehiago zehaztu beharko liratekeela, Foru Dekretua indarrean izan den urtebetean zehar hauteman ditugun udaletako arazo eta premiei erantzuna emate aldera.</w:t>
      </w:r>
      <w:r>
        <w:t xml:space="preserve"> </w:t>
      </w:r>
    </w:p>
    <w:p w14:paraId="7D184AAF" w14:textId="77777777" w:rsidR="00BC1F88" w:rsidRDefault="00325139" w:rsidP="009A656D">
      <w:pPr>
        <w:pStyle w:val="Default"/>
        <w:spacing w:line="360" w:lineRule="auto"/>
        <w:ind w:firstLine="540"/>
        <w:jc w:val="both"/>
      </w:pPr>
      <w:r>
        <w:t xml:space="preserve">Nahiz eta 7/2023 Legearen 40. artikuluan ezarritakoa aplikatzekoa izan dadin erregelamendu bidez arautu beharrik ez egon, Animalien Eskubideen Zuzendaritza Nagusiak helarazi digu protokolo batzuk idatziko dituztela, legean katu koloniak kudeatzeko ezarritako alderdi guztiak garatzen dituztenak.</w:t>
      </w:r>
      <w:r>
        <w:t xml:space="preserve"> </w:t>
      </w:r>
      <w:r>
        <w:t xml:space="preserve">Horrela, autonomia erkidegoek eskura izanen dute dokumentu bateratu bat, protokoloak Espainia osoan modu koordinatuan eta homogeneoan aplika daitezela errazteko.</w:t>
      </w:r>
      <w:r>
        <w:t xml:space="preserve"> </w:t>
      </w:r>
    </w:p>
    <w:p w14:paraId="29A55B3F" w14:textId="77777777" w:rsidR="00BC1F88" w:rsidRDefault="00325139" w:rsidP="009A656D">
      <w:pPr>
        <w:pStyle w:val="Default"/>
        <w:spacing w:line="360" w:lineRule="auto"/>
        <w:ind w:firstLine="540"/>
        <w:jc w:val="both"/>
      </w:pPr>
      <w:r>
        <w:t xml:space="preserve">Dokumentu horren zain gaude, baina, jaso artean, irizten dugu gure foru Dekretuan araututakoak jaso egiten dituela udalek katu koloniak behar bezala kudeatzeko beharrezko alderdiak.</w:t>
      </w:r>
      <w:r>
        <w:t xml:space="preserve"> </w:t>
      </w:r>
    </w:p>
    <w:p w14:paraId="69D44DAF" w14:textId="7FC87BCD" w:rsidR="00BC1F88" w:rsidRDefault="00A56CCF" w:rsidP="009A656D">
      <w:pPr>
        <w:autoSpaceDE w:val="0"/>
        <w:autoSpaceDN w:val="0"/>
        <w:adjustRightInd w:val="0"/>
        <w:ind w:firstLine="709"/>
        <w:rPr>
          <w:color w:val="000000"/>
          <w:szCs w:val="24"/>
          <w:rFonts w:cs="Arial"/>
        </w:rPr>
      </w:pPr>
      <w:r>
        <w:rPr>
          <w:color w:val="000000"/>
        </w:rPr>
        <w:t xml:space="preserve">Hori guztia jakinarazten dut, Nafarroako Parlamentuko Erregelamenduaren 215. artikuluan ezarritakoa betez.</w:t>
      </w:r>
    </w:p>
    <w:p w14:paraId="10FCBE64" w14:textId="494263C7" w:rsidR="00BC1F88" w:rsidRDefault="00CA02EF" w:rsidP="00CA02EF">
      <w:pPr>
        <w:jc w:val="center"/>
        <w:rPr>
          <w:color w:val="000000"/>
          <w:szCs w:val="24"/>
          <w:rFonts w:cs="Arial"/>
        </w:rPr>
      </w:pPr>
      <w:r>
        <w:rPr>
          <w:color w:val="000000"/>
        </w:rPr>
        <w:t xml:space="preserve">Iruñean, 2024ko urtarrilaren 29an</w:t>
      </w:r>
    </w:p>
    <w:p w14:paraId="1F96EA84" w14:textId="6ECF57C4" w:rsidR="00CA02EF" w:rsidRPr="00A77EEE" w:rsidRDefault="00BC1F88" w:rsidP="00CA02EF">
      <w:pPr>
        <w:ind w:firstLine="540"/>
        <w:jc w:val="center"/>
        <w:rPr>
          <w:color w:val="000000"/>
          <w:szCs w:val="24"/>
          <w:rFonts w:cs="Arial"/>
        </w:rPr>
      </w:pPr>
      <w:r>
        <w:t xml:space="preserve">Landa Garapeneko eta Ingurumeneko kontseilaria:</w:t>
      </w:r>
      <w:r>
        <w:rPr>
          <w:color w:val="000000"/>
        </w:rPr>
        <w:t xml:space="preserve"> </w:t>
      </w:r>
      <w:r>
        <w:rPr>
          <w:color w:val="000000"/>
        </w:rPr>
        <w:t xml:space="preserve">José María Aierdi Fernández de Barrena</w:t>
      </w:r>
    </w:p>
    <w:sectPr w:rsidR="00CA02EF" w:rsidRPr="00A77EEE" w:rsidSect="00BC1F88">
      <w:headerReference w:type="default" r:id="rId7"/>
      <w:footerReference w:type="even" r:id="rId8"/>
      <w:pgSz w:w="11906" w:h="16838" w:code="9"/>
      <w:pgMar w:top="2269" w:right="1558" w:bottom="1418" w:left="156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19255" w14:textId="77777777" w:rsidR="0056635D" w:rsidRDefault="0056635D" w:rsidP="00381BB8">
      <w:pPr>
        <w:pStyle w:val="Encabezado"/>
      </w:pPr>
      <w:r>
        <w:separator/>
      </w:r>
    </w:p>
  </w:endnote>
  <w:endnote w:type="continuationSeparator" w:id="0">
    <w:p w14:paraId="68458CCA" w14:textId="77777777" w:rsidR="0056635D" w:rsidRDefault="0056635D"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DE96C"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CA02EF">
      <w:rPr>
        <w:rStyle w:val="Nmerodepgina"/>
        <w:rFonts w:cs="Arial"/>
      </w:rPr>
      <w:t>2</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37CB3" w14:textId="77777777" w:rsidR="0056635D" w:rsidRDefault="0056635D" w:rsidP="00381BB8">
      <w:pPr>
        <w:pStyle w:val="Encabezado"/>
      </w:pPr>
      <w:r>
        <w:separator/>
      </w:r>
    </w:p>
  </w:footnote>
  <w:footnote w:type="continuationSeparator" w:id="0">
    <w:p w14:paraId="29D4B955" w14:textId="77777777" w:rsidR="0056635D" w:rsidRDefault="0056635D"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22556" w14:textId="1A8EFA9D"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5D329A"/>
    <w:multiLevelType w:val="hybridMultilevel"/>
    <w:tmpl w:val="11F6506E"/>
    <w:lvl w:ilvl="0" w:tplc="6C50C3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598937AA"/>
    <w:multiLevelType w:val="hybridMultilevel"/>
    <w:tmpl w:val="8BB04F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740859849">
    <w:abstractNumId w:val="7"/>
  </w:num>
  <w:num w:numId="2" w16cid:durableId="2145810434">
    <w:abstractNumId w:val="3"/>
  </w:num>
  <w:num w:numId="3" w16cid:durableId="1113208107">
    <w:abstractNumId w:val="9"/>
  </w:num>
  <w:num w:numId="4" w16cid:durableId="1870217367">
    <w:abstractNumId w:val="16"/>
  </w:num>
  <w:num w:numId="5" w16cid:durableId="262497683">
    <w:abstractNumId w:val="1"/>
  </w:num>
  <w:num w:numId="6" w16cid:durableId="267853157">
    <w:abstractNumId w:val="15"/>
  </w:num>
  <w:num w:numId="7" w16cid:durableId="1957056710">
    <w:abstractNumId w:val="5"/>
  </w:num>
  <w:num w:numId="8" w16cid:durableId="1937058164">
    <w:abstractNumId w:val="4"/>
  </w:num>
  <w:num w:numId="9" w16cid:durableId="321743098">
    <w:abstractNumId w:val="6"/>
  </w:num>
  <w:num w:numId="10" w16cid:durableId="2006773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95545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4010536">
    <w:abstractNumId w:val="17"/>
  </w:num>
  <w:num w:numId="13" w16cid:durableId="1024553289">
    <w:abstractNumId w:val="2"/>
  </w:num>
  <w:num w:numId="14" w16cid:durableId="1319577085">
    <w:abstractNumId w:val="14"/>
  </w:num>
  <w:num w:numId="15" w16cid:durableId="73743669">
    <w:abstractNumId w:val="0"/>
  </w:num>
  <w:num w:numId="16" w16cid:durableId="1485924795">
    <w:abstractNumId w:val="10"/>
  </w:num>
  <w:num w:numId="17" w16cid:durableId="1764958884">
    <w:abstractNumId w:val="12"/>
  </w:num>
  <w:num w:numId="18" w16cid:durableId="690374251">
    <w:abstractNumId w:val="8"/>
  </w:num>
  <w:num w:numId="19" w16cid:durableId="1202672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3D83"/>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0C1"/>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521"/>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57CC"/>
    <w:rsid w:val="00205889"/>
    <w:rsid w:val="00206AA2"/>
    <w:rsid w:val="00206DCB"/>
    <w:rsid w:val="00206FD4"/>
    <w:rsid w:val="002075EF"/>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194E"/>
    <w:rsid w:val="002C58C0"/>
    <w:rsid w:val="002C5AB5"/>
    <w:rsid w:val="002C5B73"/>
    <w:rsid w:val="002C5F4D"/>
    <w:rsid w:val="002C664A"/>
    <w:rsid w:val="002C7A39"/>
    <w:rsid w:val="002D010B"/>
    <w:rsid w:val="002D021F"/>
    <w:rsid w:val="002D151C"/>
    <w:rsid w:val="002D29AC"/>
    <w:rsid w:val="002D33DC"/>
    <w:rsid w:val="002D381B"/>
    <w:rsid w:val="002D4484"/>
    <w:rsid w:val="002D4BDA"/>
    <w:rsid w:val="002D680E"/>
    <w:rsid w:val="002D7BDB"/>
    <w:rsid w:val="002D7D20"/>
    <w:rsid w:val="002D7EAD"/>
    <w:rsid w:val="002E213B"/>
    <w:rsid w:val="002E2482"/>
    <w:rsid w:val="002E28D9"/>
    <w:rsid w:val="002E2EC9"/>
    <w:rsid w:val="002E4D0E"/>
    <w:rsid w:val="002E5DFE"/>
    <w:rsid w:val="002E5E96"/>
    <w:rsid w:val="002E6ABB"/>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11C"/>
    <w:rsid w:val="003154AF"/>
    <w:rsid w:val="003158C1"/>
    <w:rsid w:val="003160A4"/>
    <w:rsid w:val="003161E4"/>
    <w:rsid w:val="00316B49"/>
    <w:rsid w:val="00317242"/>
    <w:rsid w:val="0031755B"/>
    <w:rsid w:val="00317FE7"/>
    <w:rsid w:val="00325139"/>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1DB7"/>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266"/>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8F8"/>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4751F"/>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35D"/>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3EDB"/>
    <w:rsid w:val="005C4DE6"/>
    <w:rsid w:val="005C5D29"/>
    <w:rsid w:val="005C616F"/>
    <w:rsid w:val="005C7E72"/>
    <w:rsid w:val="005D0AE9"/>
    <w:rsid w:val="005D0BDC"/>
    <w:rsid w:val="005D19D8"/>
    <w:rsid w:val="005D2526"/>
    <w:rsid w:val="005D3951"/>
    <w:rsid w:val="005D4EBE"/>
    <w:rsid w:val="005D5E83"/>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1D10"/>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97D3B"/>
    <w:rsid w:val="006A0343"/>
    <w:rsid w:val="006A2E99"/>
    <w:rsid w:val="006A34AF"/>
    <w:rsid w:val="006A34DD"/>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0D3B"/>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B17"/>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0816"/>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1001"/>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733"/>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4DD3"/>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A656D"/>
    <w:rsid w:val="009B00D1"/>
    <w:rsid w:val="009B085D"/>
    <w:rsid w:val="009B0AB4"/>
    <w:rsid w:val="009B1F01"/>
    <w:rsid w:val="009B2A4C"/>
    <w:rsid w:val="009B2B0C"/>
    <w:rsid w:val="009B33A6"/>
    <w:rsid w:val="009B3C7D"/>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4933"/>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4AC"/>
    <w:rsid w:val="00A666ED"/>
    <w:rsid w:val="00A66A91"/>
    <w:rsid w:val="00A673DF"/>
    <w:rsid w:val="00A676EF"/>
    <w:rsid w:val="00A70850"/>
    <w:rsid w:val="00A72053"/>
    <w:rsid w:val="00A72339"/>
    <w:rsid w:val="00A73262"/>
    <w:rsid w:val="00A74059"/>
    <w:rsid w:val="00A77457"/>
    <w:rsid w:val="00A8122C"/>
    <w:rsid w:val="00A81613"/>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AF659D"/>
    <w:rsid w:val="00AF668F"/>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28E"/>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1F88"/>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02EF"/>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20F"/>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44FA1"/>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A4"/>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173"/>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2C3"/>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EB81706"/>
  <w15:chartTrackingRefBased/>
  <w15:docId w15:val="{2CACEA7E-F85A-4206-9D4D-8D561568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uiPriority w:val="34"/>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75EF"/>
    <w:pPr>
      <w:autoSpaceDE w:val="0"/>
      <w:autoSpaceDN w:val="0"/>
      <w:adjustRightInd w:val="0"/>
    </w:pPr>
    <w:rPr>
      <w:rFonts w:ascii="Arial" w:hAnsi="Arial" w:cs="Arial"/>
      <w:color w:val="000000"/>
      <w:sz w:val="24"/>
      <w:szCs w:val="24"/>
    </w:rPr>
  </w:style>
  <w:style w:type="character" w:styleId="Hipervnculo">
    <w:name w:val="Hyperlink"/>
    <w:rsid w:val="00AF66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2302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Mauleón, Fernando</cp:lastModifiedBy>
  <cp:revision>5</cp:revision>
  <cp:lastPrinted>2024-01-22T07:52:00Z</cp:lastPrinted>
  <dcterms:created xsi:type="dcterms:W3CDTF">2024-01-30T09:16:00Z</dcterms:created>
  <dcterms:modified xsi:type="dcterms:W3CDTF">2024-03-04T08:20:00Z</dcterms:modified>
</cp:coreProperties>
</file>