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E2C3" w14:textId="567C18E7" w:rsidR="00E447DC" w:rsidRPr="00E447DC" w:rsidRDefault="00E447DC">
      <w:pPr>
        <w:pStyle w:val="Textoindependiente"/>
        <w:spacing w:before="67" w:line="364" w:lineRule="auto"/>
        <w:ind w:right="113"/>
        <w:jc w:val="both"/>
      </w:pPr>
      <w:r>
        <w:t xml:space="preserve">Otsailaren 9a</w:t>
      </w:r>
    </w:p>
    <w:p w14:paraId="490F95B2" w14:textId="77777777" w:rsidR="00E447DC" w:rsidRPr="00E447DC" w:rsidRDefault="00E447DC">
      <w:pPr>
        <w:pStyle w:val="Textoindependiente"/>
        <w:spacing w:before="67" w:line="364" w:lineRule="auto"/>
        <w:ind w:right="113"/>
        <w:jc w:val="both"/>
      </w:pPr>
      <w:r>
        <w:t xml:space="preserve">EH Bildu talde parlamentarioari atxikitako foru parlamentari Domingo González Martínez jaunak idatziz erantzuteko galdera egin du Oinarrizko Osasun Laguntzako psikologoei buruz (11-24/PES-00053). Hona galdera eta Nafarroako Gobernuko Osasuneko kontseilariak horri buruz ematen duen informazioa:</w:t>
      </w:r>
    </w:p>
    <w:p w14:paraId="2BB4F48C" w14:textId="6D614E8E" w:rsidR="00B8000B" w:rsidRPr="00E447DC" w:rsidRDefault="00E447DC">
      <w:pPr>
        <w:spacing w:line="365" w:lineRule="auto"/>
        <w:ind w:left="102" w:right="117"/>
        <w:jc w:val="both"/>
        <w:rPr>
          <w:sz w:val="24"/>
          <w:szCs w:val="24"/>
          <w:rFonts w:ascii="Lucida Sans" w:eastAsia="Lucida Sans" w:hAnsi="Lucida Sans" w:cs="Lucida Sans"/>
        </w:rPr>
      </w:pPr>
      <w:r>
        <w:rPr>
          <w:b/>
          <w:sz w:val="24"/>
        </w:rPr>
        <w:t xml:space="preserve">Kontuan hartuta ez dagoela Osasunbidea-NOZen zerrenda propiorik, zer kontratazio-zerrenda erabiltzen ari dira profesional horiek kontratatzeko? Noiz egin behar dira zerrenda horiek? Zer betekizun akademiko izanen dituzte? Oraindik ere Osasunbidea-NOZen Oinarrizko Osasun Laguntzan Psikologiarako berariazko zerrendarik ez dagoenez, bitartean zer alternatiba erabiltzen ari dira?</w:t>
      </w:r>
    </w:p>
    <w:p w14:paraId="6099C627" w14:textId="77777777" w:rsidR="00E447DC" w:rsidRPr="00E447DC" w:rsidRDefault="00E447DC">
      <w:pPr>
        <w:spacing w:line="365" w:lineRule="auto"/>
        <w:ind w:left="102" w:right="121"/>
        <w:jc w:val="both"/>
        <w:rPr>
          <w:sz w:val="24"/>
          <w:szCs w:val="24"/>
          <w:rFonts w:ascii="Lucida Sans" w:eastAsia="Lucida Sans" w:hAnsi="Lucida Sans" w:cs="Lucida Sans"/>
        </w:rPr>
      </w:pPr>
      <w:r>
        <w:rPr>
          <w:b/>
          <w:sz w:val="24"/>
        </w:rPr>
        <w:t xml:space="preserve">Zer arazo sortu dira laguntzaren arloan eta lanekoan Psikologia klinikoko eta/edo Psikologia Sanitario Orokorreko profesionalak kontratatzearen ondorioz? Zer irtenbide ezarri dira horiek ekiditeko edo konpontzeko?</w:t>
      </w:r>
    </w:p>
    <w:p w14:paraId="54479AB4" w14:textId="3EC5D3A5" w:rsidR="00E447DC" w:rsidRPr="00E447DC" w:rsidRDefault="00E447DC">
      <w:pPr>
        <w:pStyle w:val="Textoindependiente"/>
        <w:spacing w:before="145" w:line="364" w:lineRule="auto"/>
        <w:ind w:right="115"/>
        <w:jc w:val="both"/>
      </w:pPr>
      <w:r>
        <w:t xml:space="preserve">Hasiera batean postuak psikologo klinikoen zerrendan eskaini ziren.</w:t>
      </w:r>
      <w:r>
        <w:t xml:space="preserve"> </w:t>
      </w:r>
      <w:r>
        <w:t xml:space="preserve">Zerrenda hori agortu zenez, psikologo orokor sanitarioen zerrenda baterako deialdia egin zen, Funtzio Publikoko LEP bidez.</w:t>
      </w:r>
      <w:r>
        <w:t xml:space="preserve"> </w:t>
      </w:r>
      <w:r>
        <w:t xml:space="preserve">Hortik hartutako kontratazioak egin ziren Nafarroako eremuan helduen psikologia osoari estaldura eman arte.</w:t>
      </w:r>
      <w:r>
        <w:t xml:space="preserve"> </w:t>
      </w:r>
      <w:r>
        <w:t xml:space="preserve">Haur eta gazteen hiru psikologo kontratatzea falta zen, eta funtzio publikoko zerrendan inork erantzunik eman ez zuenez, O-NOZek berak zerrenda propioa sortu zuen. Psikologo klinikoen elkarteak zerrenda hori errekurritu du estatuko legediaren babesean.</w:t>
      </w:r>
      <w:r>
        <w:t xml:space="preserve"> </w:t>
      </w:r>
      <w:r>
        <w:t xml:space="preserve">Errekurtsoaren ostean zerrenda baliogabetu egin da.</w:t>
      </w:r>
    </w:p>
    <w:p w14:paraId="2AABD61D" w14:textId="0653B4B1" w:rsidR="00B8000B" w:rsidRPr="00E447DC" w:rsidRDefault="00E447DC">
      <w:pPr>
        <w:pStyle w:val="Textoindependiente"/>
        <w:spacing w:before="150" w:line="363" w:lineRule="auto"/>
        <w:ind w:right="115"/>
        <w:jc w:val="both"/>
      </w:pPr>
      <w:r>
        <w:t xml:space="preserve">Horren ondoren zenbait bilera egin ziren Osasun Mentaletik aukerak aztertu eta baztertzeko.</w:t>
      </w:r>
      <w:r>
        <w:t xml:space="preserve"> </w:t>
      </w:r>
      <w:r>
        <w:t xml:space="preserve">Errekurtsoaren ebazpenaren zain gaude.</w:t>
      </w:r>
      <w:r>
        <w:t xml:space="preserve"> </w:t>
      </w:r>
      <w:r>
        <w:t xml:space="preserve">Alternatiba gisa Funtzio Publikoan dauden psikologoen zerrenda erabiltzeko bideragarritasuna aztertzen ari da.</w:t>
      </w:r>
    </w:p>
    <w:p w14:paraId="510C5780" w14:textId="77777777" w:rsidR="00B8000B" w:rsidRPr="00E447DC" w:rsidRDefault="00E447DC" w:rsidP="00E447DC">
      <w:pPr>
        <w:spacing w:before="58" w:line="361" w:lineRule="auto"/>
        <w:ind w:right="121"/>
        <w:jc w:val="both"/>
        <w:rPr>
          <w:sz w:val="24"/>
          <w:szCs w:val="24"/>
          <w:rFonts w:ascii="Lucida Sans" w:eastAsia="Lucida Sans" w:hAnsi="Lucida Sans" w:cs="Lucida Sans"/>
        </w:rPr>
      </w:pPr>
      <w:r>
        <w:rPr>
          <w:b/>
          <w:sz w:val="24"/>
        </w:rPr>
        <w:t xml:space="preserve">Oinarrizko Osasun Laguntzako Psikologiako zenbat lanpostu bete dira eta zenbat daude kontratatzeke? Zein dira Psikologiako profesional horiek lanean ez egotearen arrazoiak?</w:t>
      </w:r>
    </w:p>
    <w:p w14:paraId="46A2F02C" w14:textId="77777777" w:rsidR="00E447DC" w:rsidRPr="00E447DC" w:rsidRDefault="00E447DC">
      <w:pPr>
        <w:spacing w:before="1" w:line="363" w:lineRule="auto"/>
        <w:ind w:left="102" w:right="122"/>
        <w:jc w:val="both"/>
        <w:rPr>
          <w:sz w:val="24"/>
          <w:szCs w:val="24"/>
          <w:rFonts w:ascii="Lucida Sans" w:eastAsia="Lucida Sans" w:hAnsi="Lucida Sans" w:cs="Lucida Sans"/>
        </w:rPr>
      </w:pPr>
      <w:r>
        <w:rPr>
          <w:b/>
          <w:sz w:val="24"/>
        </w:rPr>
        <w:t xml:space="preserve">Zer funtzio eta gaitasun zehaztu dira Oinarrizko Osasun Laguntzako Psikologiako lanpostu horietarako, Osasun Mentalak egiten duen arreta espezializatuarekin gainezarpenak egotea ekidite aldera?</w:t>
      </w:r>
    </w:p>
    <w:p w14:paraId="262EEC6B" w14:textId="52BD639A" w:rsidR="00B8000B" w:rsidRPr="00E447DC" w:rsidRDefault="00E447DC">
      <w:pPr>
        <w:pStyle w:val="Textoindependiente"/>
        <w:spacing w:before="168" w:line="364" w:lineRule="auto"/>
        <w:ind w:right="117"/>
        <w:jc w:val="both"/>
      </w:pPr>
      <w:r>
        <w:t xml:space="preserve">Une honetan hamasei pertsona daude kontratatuta lanpostu horietarako; lauk Psikologia Klinikoaren espezialitatea dute eta gainerakoak psikologo orokor sanitarioak dira.</w:t>
      </w:r>
      <w:r>
        <w:t xml:space="preserve"> </w:t>
      </w:r>
      <w:r>
        <w:t xml:space="preserve">Arreta ematen diete Nafarroako heldu guztiei, eta laguntza landa eremuetako haur eta gazteei.</w:t>
      </w:r>
      <w:r>
        <w:t xml:space="preserve"> </w:t>
      </w:r>
      <w:r>
        <w:t xml:space="preserve">Garatzeke dago Iruñeko zentroetako haur eta nerabeen arretarako eredua, eta horretarako hiru psikologo kontratatu behar dira, baina zaila izaten ari da profesional gutxi daudelako eta baita aurkeztutako errekurtsoaren ondorioz ere.</w:t>
      </w:r>
    </w:p>
    <w:p w14:paraId="27687313" w14:textId="77777777" w:rsidR="00E447DC" w:rsidRPr="00E447DC" w:rsidRDefault="00E447DC">
      <w:pPr>
        <w:pStyle w:val="Textoindependiente"/>
        <w:spacing w:before="6" w:line="363" w:lineRule="auto"/>
        <w:ind w:right="124"/>
        <w:jc w:val="both"/>
      </w:pPr>
      <w:r>
        <w:t xml:space="preserve">Osasun Eskualde Oinarrizkoen banaketa hauxe da psikologiako langile bakoitzarentzat:</w:t>
      </w:r>
    </w:p>
    <w:p w14:paraId="60F5E50A" w14:textId="73E4B108" w:rsidR="00B8000B" w:rsidRPr="00E447DC" w:rsidRDefault="00E447DC">
      <w:pPr>
        <w:numPr>
          <w:ilvl w:val="0"/>
          <w:numId w:val="2"/>
        </w:numPr>
        <w:tabs>
          <w:tab w:val="left" w:pos="822"/>
        </w:tabs>
        <w:spacing w:before="149"/>
        <w:rPr>
          <w:sz w:val="24"/>
          <w:szCs w:val="24"/>
          <w:rFonts w:ascii="Times New Roman" w:eastAsia="Times New Roman" w:hAnsi="Times New Roman" w:cs="Times New Roman"/>
        </w:rPr>
      </w:pPr>
      <w:r>
        <w:rPr>
          <w:sz w:val="24"/>
          <w:rFonts w:ascii="Times New Roman"/>
        </w:rPr>
        <w:t xml:space="preserve">Antsoain Arrotxapea, Txantrea.</w:t>
      </w:r>
    </w:p>
    <w:p w14:paraId="5460ACA3" w14:textId="77777777" w:rsidR="00B8000B" w:rsidRPr="00E447DC" w:rsidRDefault="00E447DC">
      <w:pPr>
        <w:numPr>
          <w:ilvl w:val="0"/>
          <w:numId w:val="2"/>
        </w:numPr>
        <w:tabs>
          <w:tab w:val="left" w:pos="822"/>
        </w:tabs>
        <w:spacing w:before="122"/>
        <w:rPr>
          <w:sz w:val="24"/>
          <w:szCs w:val="24"/>
          <w:rFonts w:ascii="Times New Roman" w:eastAsia="Times New Roman" w:hAnsi="Times New Roman" w:cs="Times New Roman"/>
        </w:rPr>
      </w:pPr>
      <w:r>
        <w:rPr>
          <w:sz w:val="24"/>
          <w:rFonts w:ascii="Times New Roman"/>
        </w:rPr>
        <w:t xml:space="preserve">Buztintxuri, San Jorge, Berriozar, Orkoien.</w:t>
      </w:r>
    </w:p>
    <w:p w14:paraId="1BCBDAA9"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hAnsi="Times New Roman"/>
        </w:rPr>
        <w:t xml:space="preserve">San Juan, Iturrama, Ermitagaña.</w:t>
      </w:r>
    </w:p>
    <w:p w14:paraId="76903904"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rPr>
        <w:t xml:space="preserve">Lezkairu, Sarriguren, Aranguren, Mendillorri.</w:t>
      </w:r>
    </w:p>
    <w:p w14:paraId="15E8546E"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hAnsi="Times New Roman"/>
        </w:rPr>
        <w:t xml:space="preserve">Barañain I eta II, Zizur-Etxabakoitz, Gares.</w:t>
      </w:r>
    </w:p>
    <w:p w14:paraId="0CFBAAC0" w14:textId="77777777" w:rsidR="00B8000B" w:rsidRPr="00E447DC" w:rsidRDefault="00E447DC">
      <w:pPr>
        <w:numPr>
          <w:ilvl w:val="0"/>
          <w:numId w:val="2"/>
        </w:numPr>
        <w:tabs>
          <w:tab w:val="left" w:pos="822"/>
        </w:tabs>
        <w:spacing w:before="122"/>
        <w:rPr>
          <w:sz w:val="24"/>
          <w:szCs w:val="24"/>
          <w:rFonts w:ascii="Times New Roman" w:eastAsia="Times New Roman" w:hAnsi="Times New Roman" w:cs="Times New Roman"/>
        </w:rPr>
      </w:pPr>
      <w:r>
        <w:rPr>
          <w:sz w:val="24"/>
          <w:rFonts w:ascii="Times New Roman" w:hAnsi="Times New Roman"/>
        </w:rPr>
        <w:t xml:space="preserve">Azpilagaña, Arrosadia, Noain.</w:t>
      </w:r>
    </w:p>
    <w:p w14:paraId="2DD2305D"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rPr>
        <w:t xml:space="preserve">Burlata, Uharte, Atarrabia, Agoitz, Auritz.</w:t>
      </w:r>
    </w:p>
    <w:p w14:paraId="7396247E" w14:textId="77777777" w:rsidR="00B8000B" w:rsidRPr="00E447DC" w:rsidRDefault="00E447DC">
      <w:pPr>
        <w:numPr>
          <w:ilvl w:val="0"/>
          <w:numId w:val="2"/>
        </w:numPr>
        <w:tabs>
          <w:tab w:val="left" w:pos="822"/>
        </w:tabs>
        <w:spacing w:before="121"/>
        <w:rPr>
          <w:sz w:val="24"/>
          <w:szCs w:val="24"/>
          <w:rFonts w:ascii="Times New Roman" w:eastAsia="Times New Roman" w:hAnsi="Times New Roman" w:cs="Times New Roman"/>
        </w:rPr>
      </w:pPr>
      <w:r>
        <w:rPr>
          <w:sz w:val="24"/>
          <w:rFonts w:ascii="Times New Roman" w:hAnsi="Times New Roman"/>
        </w:rPr>
        <w:t xml:space="preserve">II Zabalgunea, Alde Zaharra, Izaba, Zaraitzu, Zangoza.</w:t>
      </w:r>
    </w:p>
    <w:p w14:paraId="6202E544"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rPr>
        <w:t xml:space="preserve">Altsasu, Etxarri Aranatz, Irurtzun, Leitza.</w:t>
      </w:r>
    </w:p>
    <w:p w14:paraId="24224655" w14:textId="77777777" w:rsidR="00B8000B" w:rsidRPr="00E447DC" w:rsidRDefault="00E447DC">
      <w:pPr>
        <w:numPr>
          <w:ilvl w:val="0"/>
          <w:numId w:val="2"/>
        </w:numPr>
        <w:tabs>
          <w:tab w:val="left" w:pos="822"/>
        </w:tabs>
        <w:spacing w:before="122"/>
        <w:rPr>
          <w:sz w:val="24"/>
          <w:szCs w:val="24"/>
          <w:rFonts w:ascii="Times New Roman" w:eastAsia="Times New Roman" w:hAnsi="Times New Roman" w:cs="Times New Roman"/>
        </w:rPr>
      </w:pPr>
      <w:r>
        <w:rPr>
          <w:sz w:val="24"/>
          <w:rFonts w:ascii="Times New Roman"/>
        </w:rPr>
        <w:t xml:space="preserve">Doneztebe, Lesaka, Ultzama, Elizondo.</w:t>
      </w:r>
    </w:p>
    <w:p w14:paraId="51F1028B"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rPr>
        <w:t xml:space="preserve">Tafalla, Erriberri, Azkoien, Zarrakaztelu, Artaxoa.</w:t>
      </w:r>
    </w:p>
    <w:p w14:paraId="25FB7C45"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hAnsi="Times New Roman"/>
        </w:rPr>
        <w:t xml:space="preserve">Lizarra, Villatuerta, Los Arcos, Allo, Antzin.</w:t>
      </w:r>
    </w:p>
    <w:p w14:paraId="3BDB1A84"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hAnsi="Times New Roman"/>
        </w:rPr>
        <w:t xml:space="preserve">San Adrián, Lodosa, Viana.</w:t>
      </w:r>
    </w:p>
    <w:p w14:paraId="227039D0" w14:textId="77777777" w:rsidR="00B8000B" w:rsidRPr="00E447DC" w:rsidRDefault="00E447DC">
      <w:pPr>
        <w:numPr>
          <w:ilvl w:val="0"/>
          <w:numId w:val="2"/>
        </w:numPr>
        <w:tabs>
          <w:tab w:val="left" w:pos="822"/>
        </w:tabs>
        <w:rPr>
          <w:sz w:val="24"/>
          <w:szCs w:val="24"/>
          <w:rFonts w:ascii="Times New Roman" w:eastAsia="Times New Roman" w:hAnsi="Times New Roman" w:cs="Times New Roman"/>
        </w:rPr>
      </w:pPr>
      <w:r>
        <w:rPr>
          <w:sz w:val="24"/>
          <w:rFonts w:ascii="Times New Roman"/>
        </w:rPr>
        <w:t xml:space="preserve">Tutera Ekialde, Tutera Mendebalde.</w:t>
      </w:r>
    </w:p>
    <w:p w14:paraId="4666A1AD" w14:textId="77777777" w:rsidR="00B8000B"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hAnsi="Times New Roman"/>
        </w:rPr>
        <w:t xml:space="preserve">Valtierra, Buñuel eta Corellako Osasun Eskualde Oinarrizkoan Castejón udalerria.</w:t>
      </w:r>
    </w:p>
    <w:p w14:paraId="28AD355A" w14:textId="77777777" w:rsidR="00E447DC" w:rsidRPr="00E447DC" w:rsidRDefault="00E447DC">
      <w:pPr>
        <w:numPr>
          <w:ilvl w:val="0"/>
          <w:numId w:val="2"/>
        </w:numPr>
        <w:tabs>
          <w:tab w:val="left" w:pos="822"/>
        </w:tabs>
        <w:spacing w:before="120"/>
        <w:rPr>
          <w:sz w:val="24"/>
          <w:szCs w:val="24"/>
          <w:rFonts w:ascii="Times New Roman" w:eastAsia="Times New Roman" w:hAnsi="Times New Roman" w:cs="Times New Roman"/>
        </w:rPr>
      </w:pPr>
      <w:r>
        <w:rPr>
          <w:sz w:val="24"/>
          <w:rFonts w:ascii="Times New Roman" w:hAnsi="Times New Roman"/>
        </w:rPr>
        <w:t xml:space="preserve">Cascante, Cintruénigo eta Corella (Castejón izan ezik)</w:t>
      </w:r>
    </w:p>
    <w:p w14:paraId="17567C94" w14:textId="40FFA014" w:rsidR="00E447DC" w:rsidRPr="00E447DC" w:rsidRDefault="00E447DC">
      <w:pPr>
        <w:pStyle w:val="Textoindependiente"/>
        <w:spacing w:line="364" w:lineRule="auto"/>
        <w:ind w:right="117"/>
        <w:jc w:val="both"/>
      </w:pPr>
      <w:r>
        <w:t xml:space="preserve">Desordena emozionalei eta nahasmendu mental arinei (depresioa, antsietatea, somatizazioak, egokitze nahasmenduak) arreta eman nahi zaie Oinarrizko Osasun Laguntzan, modu integratzaile eta efizientean, esku hartze psikologikoak batez ere taldeko formatuan eginez, esku hartze transdiagnostikoko eredu batekin.</w:t>
      </w:r>
      <w:r>
        <w:t xml:space="preserve"> </w:t>
      </w:r>
      <w:r>
        <w:t xml:space="preserve">Hau da ezarritako oinarrizko zerbitzu zorroa:</w:t>
      </w:r>
    </w:p>
    <w:p w14:paraId="46123955" w14:textId="0BAA178F" w:rsidR="00B8000B" w:rsidRPr="00E447DC" w:rsidRDefault="00E447DC">
      <w:pPr>
        <w:numPr>
          <w:ilvl w:val="0"/>
          <w:numId w:val="1"/>
        </w:numPr>
        <w:tabs>
          <w:tab w:val="left" w:pos="822"/>
        </w:tabs>
        <w:spacing w:before="150"/>
        <w:rPr>
          <w:sz w:val="24"/>
          <w:szCs w:val="24"/>
          <w:rFonts w:ascii="Times New Roman" w:eastAsia="Times New Roman" w:hAnsi="Times New Roman" w:cs="Times New Roman"/>
        </w:rPr>
      </w:pPr>
      <w:r>
        <w:rPr>
          <w:sz w:val="24"/>
          <w:rFonts w:ascii="Times New Roman" w:hAnsi="Times New Roman"/>
        </w:rPr>
        <w:t xml:space="preserve">Haur eta helduen ebaluazio psikologikoa.</w:t>
      </w:r>
    </w:p>
    <w:p w14:paraId="442E583B" w14:textId="77777777" w:rsidR="00B8000B" w:rsidRPr="00E447DC" w:rsidRDefault="00E447DC">
      <w:pPr>
        <w:numPr>
          <w:ilvl w:val="0"/>
          <w:numId w:val="1"/>
        </w:numPr>
        <w:tabs>
          <w:tab w:val="left" w:pos="822"/>
        </w:tabs>
        <w:spacing w:before="131" w:line="360" w:lineRule="auto"/>
        <w:ind w:right="119"/>
        <w:jc w:val="both"/>
        <w:rPr>
          <w:sz w:val="24"/>
          <w:szCs w:val="24"/>
          <w:rFonts w:ascii="Times New Roman" w:eastAsia="Times New Roman" w:hAnsi="Times New Roman" w:cs="Times New Roman"/>
        </w:rPr>
      </w:pPr>
      <w:r>
        <w:rPr>
          <w:sz w:val="24"/>
          <w:rFonts w:ascii="Times New Roman" w:hAnsi="Times New Roman"/>
        </w:rPr>
        <w:t xml:space="preserve">Banakako esku hartze psikologikoak haur eta gazteengan eta helduengan, arazoak konpontzeko eta aurre egiteko ereduetan ardaztuta.</w:t>
      </w:r>
    </w:p>
    <w:p w14:paraId="40FBB962" w14:textId="3A0ED767" w:rsidR="00B8000B" w:rsidRPr="00E447DC" w:rsidRDefault="00E447DC">
      <w:pPr>
        <w:numPr>
          <w:ilvl w:val="0"/>
          <w:numId w:val="1"/>
        </w:numPr>
        <w:tabs>
          <w:tab w:val="left" w:pos="822"/>
        </w:tabs>
        <w:spacing w:before="10" w:line="355" w:lineRule="auto"/>
        <w:ind w:right="122"/>
        <w:rPr>
          <w:sz w:val="24"/>
          <w:szCs w:val="24"/>
          <w:rFonts w:ascii="Times New Roman" w:eastAsia="Times New Roman" w:hAnsi="Times New Roman" w:cs="Times New Roman"/>
        </w:rPr>
      </w:pPr>
      <w:r>
        <w:rPr>
          <w:sz w:val="24"/>
          <w:rFonts w:ascii="Times New Roman" w:hAnsi="Times New Roman"/>
        </w:rPr>
        <w:t xml:space="preserve">Taldeko esku hartzeak haur eta gazteen eta helduen artean, eredu transdiagnostikoetan oinarrituta.</w:t>
      </w:r>
    </w:p>
    <w:p w14:paraId="1403B84D" w14:textId="77777777" w:rsidR="00B8000B" w:rsidRPr="00E447DC" w:rsidRDefault="00E447DC">
      <w:pPr>
        <w:numPr>
          <w:ilvl w:val="0"/>
          <w:numId w:val="1"/>
        </w:numPr>
        <w:tabs>
          <w:tab w:val="left" w:pos="822"/>
        </w:tabs>
        <w:spacing w:before="14"/>
        <w:rPr>
          <w:sz w:val="24"/>
          <w:szCs w:val="24"/>
          <w:rFonts w:ascii="Times New Roman" w:eastAsia="Times New Roman" w:hAnsi="Times New Roman" w:cs="Times New Roman"/>
        </w:rPr>
      </w:pPr>
      <w:r>
        <w:rPr>
          <w:sz w:val="24"/>
          <w:rFonts w:ascii="Times New Roman"/>
        </w:rPr>
        <w:t xml:space="preserve">Esku hartzeak familietan.</w:t>
      </w:r>
    </w:p>
    <w:p w14:paraId="6DC21153" w14:textId="77777777" w:rsidR="00B8000B" w:rsidRPr="00E447DC" w:rsidRDefault="00E447DC">
      <w:pPr>
        <w:numPr>
          <w:ilvl w:val="0"/>
          <w:numId w:val="1"/>
        </w:numPr>
        <w:tabs>
          <w:tab w:val="left" w:pos="822"/>
        </w:tabs>
        <w:spacing w:before="131" w:line="355" w:lineRule="auto"/>
        <w:ind w:right="117"/>
        <w:rPr>
          <w:sz w:val="24"/>
          <w:szCs w:val="24"/>
          <w:rFonts w:ascii="Times New Roman" w:eastAsia="Times New Roman" w:hAnsi="Times New Roman" w:cs="Times New Roman"/>
        </w:rPr>
      </w:pPr>
      <w:r>
        <w:rPr>
          <w:sz w:val="24"/>
          <w:rFonts w:ascii="Times New Roman" w:hAnsi="Times New Roman"/>
        </w:rPr>
        <w:t xml:space="preserve">Esku hartze komunitarioak, nahasmendu mentala prebenitzeko eta osasun mentala sustatzeko programetan lagunduta.</w:t>
      </w:r>
    </w:p>
    <w:p w14:paraId="3754176B" w14:textId="77777777" w:rsidR="00E447DC" w:rsidRPr="00E447DC" w:rsidRDefault="00E447DC">
      <w:pPr>
        <w:numPr>
          <w:ilvl w:val="0"/>
          <w:numId w:val="1"/>
        </w:numPr>
        <w:tabs>
          <w:tab w:val="left" w:pos="822"/>
        </w:tabs>
        <w:spacing w:before="14"/>
        <w:rPr>
          <w:sz w:val="24"/>
          <w:szCs w:val="24"/>
          <w:rFonts w:ascii="Times New Roman" w:eastAsia="Times New Roman" w:hAnsi="Times New Roman" w:cs="Times New Roman"/>
        </w:rPr>
      </w:pPr>
      <w:r>
        <w:rPr>
          <w:sz w:val="24"/>
          <w:rFonts w:ascii="Times New Roman" w:hAnsi="Times New Roman"/>
        </w:rPr>
        <w:t xml:space="preserve">Oinarrizko Osasun Laguntzako profesionalekin partekatutako esku hartzeak.</w:t>
      </w:r>
    </w:p>
    <w:p w14:paraId="03644D4C" w14:textId="17E495D0" w:rsidR="00E447DC" w:rsidRPr="00E447DC" w:rsidRDefault="00E447DC">
      <w:pPr>
        <w:spacing w:line="365" w:lineRule="auto"/>
        <w:ind w:left="102" w:right="116"/>
        <w:jc w:val="both"/>
        <w:rPr>
          <w:sz w:val="24"/>
          <w:szCs w:val="24"/>
          <w:rFonts w:ascii="Lucida Sans" w:eastAsia="Lucida Sans" w:hAnsi="Lucida Sans" w:cs="Lucida Sans"/>
        </w:rPr>
      </w:pPr>
      <w:r>
        <w:rPr>
          <w:b/>
          <w:sz w:val="24"/>
        </w:rPr>
        <w:t xml:space="preserve">Oinarrizko Osasun Laguntzako Psikologiako profesional horietatik, zenbatek ematen diete arreta haur eta gazteei eta zein Eskualde Oinarrizkoetan? Aurreikusten diren lan-kargetarako nahikotzat jotzen al dira?</w:t>
      </w:r>
    </w:p>
    <w:p w14:paraId="32748F67" w14:textId="77777777" w:rsidR="00E447DC" w:rsidRPr="00E447DC" w:rsidRDefault="00E447DC">
      <w:pPr>
        <w:pStyle w:val="Textoindependiente"/>
        <w:spacing w:before="145" w:line="363" w:lineRule="auto"/>
        <w:ind w:right="121"/>
        <w:jc w:val="both"/>
      </w:pPr>
      <w:r>
        <w:t xml:space="preserve">Gaur egun landa eremuetan arreta ematen duten profesionalek helduei nahiz haur eta gazteei ematen diete arreta.</w:t>
      </w:r>
    </w:p>
    <w:p w14:paraId="6A17049C" w14:textId="2EDF1FA1" w:rsidR="00E447DC" w:rsidRPr="00E447DC" w:rsidRDefault="00E447DC" w:rsidP="00E447DC">
      <w:pPr>
        <w:pStyle w:val="Textoindependiente"/>
        <w:spacing w:before="149" w:line="365" w:lineRule="auto"/>
        <w:ind w:right="118"/>
        <w:jc w:val="both"/>
      </w:pPr>
      <w:r>
        <w:t xml:space="preserve">Iruñeko Barrutiko hiri zentroetako haur eta gazteei arreta espezifikoa emateko hiru psikologo jarri nahi dira, baina ez zaio horri ekin bidean den errekurtsoaren ondorioz.</w:t>
      </w:r>
    </w:p>
    <w:p w14:paraId="2652358B" w14:textId="301328F5" w:rsidR="00E447DC" w:rsidRPr="00E447DC" w:rsidRDefault="00E447DC">
      <w:pPr>
        <w:pStyle w:val="Textoindependiente"/>
        <w:spacing w:line="365" w:lineRule="auto"/>
        <w:ind w:right="122"/>
      </w:pPr>
      <w:r>
        <w:t xml:space="preserve">Hori guztia jakinarazten dizut, Nafarroako Parlamentuko Erregelamenduaren 215. artikulua betez.</w:t>
      </w:r>
    </w:p>
    <w:p w14:paraId="49D92789" w14:textId="77777777" w:rsidR="00E447DC" w:rsidRDefault="00E447DC" w:rsidP="00E447DC">
      <w:pPr>
        <w:pStyle w:val="Textoindependiente"/>
        <w:spacing w:before="147"/>
        <w:ind w:left="709"/>
      </w:pPr>
      <w:r>
        <w:t xml:space="preserve">Iruñean, 2024ko otsailaren 8an</w:t>
      </w:r>
    </w:p>
    <w:p w14:paraId="32CE4EF4" w14:textId="4E5FBCC1" w:rsidR="00B8000B" w:rsidRPr="00E447DC" w:rsidRDefault="00E447DC" w:rsidP="00E447DC">
      <w:pPr>
        <w:pStyle w:val="Textoindependiente"/>
        <w:spacing w:before="147"/>
        <w:ind w:left="709"/>
      </w:pPr>
      <w:r>
        <w:t xml:space="preserve">Osasuneko kontseilaria:</w:t>
      </w:r>
      <w:r>
        <w:t xml:space="preserve"> </w:t>
      </w:r>
      <w:r>
        <w:t xml:space="preserve">Fernando Domínguez Cunchillos</w:t>
      </w:r>
    </w:p>
    <w:sectPr w:rsidR="00B8000B" w:rsidRPr="00E447DC" w:rsidSect="00E447DC">
      <w:headerReference w:type="default" r:id="rId7"/>
      <w:pgSz w:w="11910" w:h="16840"/>
      <w:pgMar w:top="1400" w:right="995"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3ECE" w14:textId="77777777" w:rsidR="00E447DC" w:rsidRDefault="00E447DC">
      <w:r>
        <w:separator/>
      </w:r>
    </w:p>
  </w:endnote>
  <w:endnote w:type="continuationSeparator" w:id="0">
    <w:p w14:paraId="23E1D5A6" w14:textId="77777777" w:rsidR="00E447DC" w:rsidRDefault="00E4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71BE" w14:textId="77777777" w:rsidR="00E447DC" w:rsidRDefault="00E447DC">
      <w:r>
        <w:separator/>
      </w:r>
    </w:p>
  </w:footnote>
  <w:footnote w:type="continuationSeparator" w:id="0">
    <w:p w14:paraId="24A1B432" w14:textId="77777777" w:rsidR="00E447DC" w:rsidRDefault="00E4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A44C" w14:textId="4E73D9B7" w:rsidR="00B8000B" w:rsidRDefault="00B8000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2F98"/>
    <w:multiLevelType w:val="hybridMultilevel"/>
    <w:tmpl w:val="50D0931C"/>
    <w:lvl w:ilvl="0" w:tplc="FDBCE180">
      <w:start w:val="1"/>
      <w:numFmt w:val="bullet"/>
      <w:lvlText w:val="-"/>
      <w:lvlJc w:val="left"/>
      <w:pPr>
        <w:ind w:left="822" w:hanging="360"/>
      </w:pPr>
      <w:rPr>
        <w:rFonts w:ascii="Calibri" w:eastAsia="Calibri" w:hAnsi="Calibri" w:hint="default"/>
        <w:sz w:val="22"/>
        <w:szCs w:val="22"/>
      </w:rPr>
    </w:lvl>
    <w:lvl w:ilvl="1" w:tplc="80E2E484">
      <w:start w:val="1"/>
      <w:numFmt w:val="bullet"/>
      <w:lvlText w:val="•"/>
      <w:lvlJc w:val="left"/>
      <w:pPr>
        <w:ind w:left="1612" w:hanging="360"/>
      </w:pPr>
      <w:rPr>
        <w:rFonts w:hint="default"/>
      </w:rPr>
    </w:lvl>
    <w:lvl w:ilvl="2" w:tplc="4A4E22A6">
      <w:start w:val="1"/>
      <w:numFmt w:val="bullet"/>
      <w:lvlText w:val="•"/>
      <w:lvlJc w:val="left"/>
      <w:pPr>
        <w:ind w:left="2402" w:hanging="360"/>
      </w:pPr>
      <w:rPr>
        <w:rFonts w:hint="default"/>
      </w:rPr>
    </w:lvl>
    <w:lvl w:ilvl="3" w:tplc="7EEA6A96">
      <w:start w:val="1"/>
      <w:numFmt w:val="bullet"/>
      <w:lvlText w:val="•"/>
      <w:lvlJc w:val="left"/>
      <w:pPr>
        <w:ind w:left="3193" w:hanging="360"/>
      </w:pPr>
      <w:rPr>
        <w:rFonts w:hint="default"/>
      </w:rPr>
    </w:lvl>
    <w:lvl w:ilvl="4" w:tplc="7C5EB1F2">
      <w:start w:val="1"/>
      <w:numFmt w:val="bullet"/>
      <w:lvlText w:val="•"/>
      <w:lvlJc w:val="left"/>
      <w:pPr>
        <w:ind w:left="3983" w:hanging="360"/>
      </w:pPr>
      <w:rPr>
        <w:rFonts w:hint="default"/>
      </w:rPr>
    </w:lvl>
    <w:lvl w:ilvl="5" w:tplc="3222A2B8">
      <w:start w:val="1"/>
      <w:numFmt w:val="bullet"/>
      <w:lvlText w:val="•"/>
      <w:lvlJc w:val="left"/>
      <w:pPr>
        <w:ind w:left="4774" w:hanging="360"/>
      </w:pPr>
      <w:rPr>
        <w:rFonts w:hint="default"/>
      </w:rPr>
    </w:lvl>
    <w:lvl w:ilvl="6" w:tplc="D5FA60CA">
      <w:start w:val="1"/>
      <w:numFmt w:val="bullet"/>
      <w:lvlText w:val="•"/>
      <w:lvlJc w:val="left"/>
      <w:pPr>
        <w:ind w:left="5564" w:hanging="360"/>
      </w:pPr>
      <w:rPr>
        <w:rFonts w:hint="default"/>
      </w:rPr>
    </w:lvl>
    <w:lvl w:ilvl="7" w:tplc="7BE0D688">
      <w:start w:val="1"/>
      <w:numFmt w:val="bullet"/>
      <w:lvlText w:val="•"/>
      <w:lvlJc w:val="left"/>
      <w:pPr>
        <w:ind w:left="6355" w:hanging="360"/>
      </w:pPr>
      <w:rPr>
        <w:rFonts w:hint="default"/>
      </w:rPr>
    </w:lvl>
    <w:lvl w:ilvl="8" w:tplc="A056819E">
      <w:start w:val="1"/>
      <w:numFmt w:val="bullet"/>
      <w:lvlText w:val="•"/>
      <w:lvlJc w:val="left"/>
      <w:pPr>
        <w:ind w:left="7145" w:hanging="360"/>
      </w:pPr>
      <w:rPr>
        <w:rFonts w:hint="default"/>
      </w:rPr>
    </w:lvl>
  </w:abstractNum>
  <w:abstractNum w:abstractNumId="1" w15:restartNumberingAfterBreak="0">
    <w:nsid w:val="7CE36A33"/>
    <w:multiLevelType w:val="hybridMultilevel"/>
    <w:tmpl w:val="D728A9E6"/>
    <w:lvl w:ilvl="0" w:tplc="46DE2EDE">
      <w:start w:val="1"/>
      <w:numFmt w:val="bullet"/>
      <w:lvlText w:val=""/>
      <w:lvlJc w:val="left"/>
      <w:pPr>
        <w:ind w:left="822" w:hanging="360"/>
      </w:pPr>
      <w:rPr>
        <w:rFonts w:ascii="Symbol" w:eastAsia="Symbol" w:hAnsi="Symbol" w:hint="default"/>
        <w:sz w:val="22"/>
        <w:szCs w:val="22"/>
      </w:rPr>
    </w:lvl>
    <w:lvl w:ilvl="1" w:tplc="6720A2F0">
      <w:start w:val="1"/>
      <w:numFmt w:val="bullet"/>
      <w:lvlText w:val="•"/>
      <w:lvlJc w:val="left"/>
      <w:pPr>
        <w:ind w:left="1612" w:hanging="360"/>
      </w:pPr>
      <w:rPr>
        <w:rFonts w:hint="default"/>
      </w:rPr>
    </w:lvl>
    <w:lvl w:ilvl="2" w:tplc="3E36FF80">
      <w:start w:val="1"/>
      <w:numFmt w:val="bullet"/>
      <w:lvlText w:val="•"/>
      <w:lvlJc w:val="left"/>
      <w:pPr>
        <w:ind w:left="2402" w:hanging="360"/>
      </w:pPr>
      <w:rPr>
        <w:rFonts w:hint="default"/>
      </w:rPr>
    </w:lvl>
    <w:lvl w:ilvl="3" w:tplc="97E26360">
      <w:start w:val="1"/>
      <w:numFmt w:val="bullet"/>
      <w:lvlText w:val="•"/>
      <w:lvlJc w:val="left"/>
      <w:pPr>
        <w:ind w:left="3193" w:hanging="360"/>
      </w:pPr>
      <w:rPr>
        <w:rFonts w:hint="default"/>
      </w:rPr>
    </w:lvl>
    <w:lvl w:ilvl="4" w:tplc="E1ECC188">
      <w:start w:val="1"/>
      <w:numFmt w:val="bullet"/>
      <w:lvlText w:val="•"/>
      <w:lvlJc w:val="left"/>
      <w:pPr>
        <w:ind w:left="3983" w:hanging="360"/>
      </w:pPr>
      <w:rPr>
        <w:rFonts w:hint="default"/>
      </w:rPr>
    </w:lvl>
    <w:lvl w:ilvl="5" w:tplc="004A6DA8">
      <w:start w:val="1"/>
      <w:numFmt w:val="bullet"/>
      <w:lvlText w:val="•"/>
      <w:lvlJc w:val="left"/>
      <w:pPr>
        <w:ind w:left="4774" w:hanging="360"/>
      </w:pPr>
      <w:rPr>
        <w:rFonts w:hint="default"/>
      </w:rPr>
    </w:lvl>
    <w:lvl w:ilvl="6" w:tplc="59FA2962">
      <w:start w:val="1"/>
      <w:numFmt w:val="bullet"/>
      <w:lvlText w:val="•"/>
      <w:lvlJc w:val="left"/>
      <w:pPr>
        <w:ind w:left="5564" w:hanging="360"/>
      </w:pPr>
      <w:rPr>
        <w:rFonts w:hint="default"/>
      </w:rPr>
    </w:lvl>
    <w:lvl w:ilvl="7" w:tplc="E782294A">
      <w:start w:val="1"/>
      <w:numFmt w:val="bullet"/>
      <w:lvlText w:val="•"/>
      <w:lvlJc w:val="left"/>
      <w:pPr>
        <w:ind w:left="6355" w:hanging="360"/>
      </w:pPr>
      <w:rPr>
        <w:rFonts w:hint="default"/>
      </w:rPr>
    </w:lvl>
    <w:lvl w:ilvl="8" w:tplc="67769528">
      <w:start w:val="1"/>
      <w:numFmt w:val="bullet"/>
      <w:lvlText w:val="•"/>
      <w:lvlJc w:val="left"/>
      <w:pPr>
        <w:ind w:left="7145" w:hanging="360"/>
      </w:pPr>
      <w:rPr>
        <w:rFonts w:hint="default"/>
      </w:rPr>
    </w:lvl>
  </w:abstractNum>
  <w:num w:numId="1" w16cid:durableId="2141459704">
    <w:abstractNumId w:val="1"/>
  </w:num>
  <w:num w:numId="2" w16cid:durableId="28384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8000B"/>
    <w:rsid w:val="00B8000B"/>
    <w:rsid w:val="00E447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A830D8"/>
  <w15:docId w15:val="{B03B5B15-7971-4938-BF8F-7AD78EAD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0"/>
      <w:ind w:left="1702"/>
      <w:outlineLvl w:val="0"/>
    </w:pPr>
    <w:rPr>
      <w:rFonts w:ascii="Arial" w:eastAsia="Arial" w:hAnsi="Arial"/>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Times New Roman" w:eastAsia="Times New Roman" w:hAnsi="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447DC"/>
    <w:pPr>
      <w:tabs>
        <w:tab w:val="center" w:pos="4252"/>
        <w:tab w:val="right" w:pos="8504"/>
      </w:tabs>
    </w:pPr>
  </w:style>
  <w:style w:type="character" w:customStyle="1" w:styleId="EncabezadoCar">
    <w:name w:val="Encabezado Car"/>
    <w:basedOn w:val="Fuentedeprrafopredeter"/>
    <w:link w:val="Encabezado"/>
    <w:uiPriority w:val="99"/>
    <w:rsid w:val="00E447DC"/>
  </w:style>
  <w:style w:type="paragraph" w:styleId="Piedepgina">
    <w:name w:val="footer"/>
    <w:basedOn w:val="Normal"/>
    <w:link w:val="PiedepginaCar"/>
    <w:uiPriority w:val="99"/>
    <w:unhideWhenUsed/>
    <w:rsid w:val="00E447DC"/>
    <w:pPr>
      <w:tabs>
        <w:tab w:val="center" w:pos="4252"/>
        <w:tab w:val="right" w:pos="8504"/>
      </w:tabs>
    </w:pPr>
  </w:style>
  <w:style w:type="character" w:customStyle="1" w:styleId="PiedepginaCar">
    <w:name w:val="Pie de página Car"/>
    <w:basedOn w:val="Fuentedeprrafopredeter"/>
    <w:link w:val="Piedepgina"/>
    <w:uiPriority w:val="99"/>
    <w:rsid w:val="00E4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4362</Characters>
  <Application>Microsoft Office Word</Application>
  <DocSecurity>0</DocSecurity>
  <Lines>36</Lines>
  <Paragraphs>10</Paragraphs>
  <ScaleCrop>false</ScaleCrop>
  <Company>Hewlett-Packard Company</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2024-02-12T08:52:00Z</dcterms:created>
  <dcterms:modified xsi:type="dcterms:W3CDTF">2024-02-12T07:56:00Z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LastSaved">
    <vt:filetime>2024-02-12T00:00:00Z</vt:filetime>
  </property>
</Properties>
</file>