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0591B0E5" w:rsidR="00D76157" w:rsidRDefault="00FF1A92" w:rsidP="00FF1A92">
      <w:pPr>
        <w:pStyle w:val="DICTA-TITULO"/>
      </w:pPr>
      <w:r>
        <w:t xml:space="preserve">Foru Legea, zeinaren bidez Nafarroaren Garapen Sozietatea SLri baimena ematen baitzaio Dynamobel SA finantzatzeko</w:t>
      </w:r>
    </w:p>
    <w:p w14:paraId="42D0688D" w14:textId="3CD98C6E" w:rsidR="00106D80" w:rsidRDefault="00396EC2" w:rsidP="00396EC2">
      <w:pPr>
        <w:pStyle w:val="DICTA-TEXTO"/>
        <w:jc w:val="center"/>
      </w:pPr>
      <w:r>
        <w:t xml:space="preserve">ZIOEN AZALPENA</w:t>
      </w:r>
    </w:p>
    <w:p w14:paraId="093D6D45" w14:textId="1666C64D" w:rsidR="00FF1A92" w:rsidRDefault="00FF1A92" w:rsidP="00FF1A92">
      <w:pPr>
        <w:pStyle w:val="DICTA-TEXTO"/>
      </w:pPr>
      <w:r>
        <w:t xml:space="preserve">Nafarroaren Garapen Sozietatea SL sozietate publikoak Parlamentuaren berariazko baimena eskatu du Dynamobel SA finantzatzeko eragiketak egiteko. Eragiketa horiek dira, zehazki, bi milioi euroko ekarpena egitea kapital sozialari, eta bi milioi eurorainoko abala ematea.</w:t>
      </w:r>
    </w:p>
    <w:p w14:paraId="32ECC3E4" w14:textId="1495B095" w:rsidR="00FF1A92" w:rsidRDefault="00FF1A92" w:rsidP="00FF1A92">
      <w:pPr>
        <w:pStyle w:val="DICTA-TEXTO"/>
      </w:pPr>
      <w:r>
        <w:t xml:space="preserve">Eskaera hori honako hauen araberakoa da: 1/1984 Foru Legea, urtarrilaren 2koa, Nafarroako Garapen Sozietatea (SODENA) sortzeari buruzkoa; 13/2007 Foru Legea, apirilaren 4koa, Nafarroako Ogasun Publikoari buruzkoa; eta 2/2024 Foru Legea, martxoaren 13koa, 2024rako Nafarroako Aurrekontu Orokorrei buruzkoa –hark baimendutako gehieneko zenbatekoaren barruan–. Eta Nafarroako Gobernuaren 2024ko otsailaren 21eko Erabakian Nafarroaren Garapen Sozietatea SL (SODENA) sozietate publikoari globalki baimena ematen zaio 2024an zehar abalak emateko, 20.000.000 euroko mugaraino, Nafarroako Ogasun Publikoari buruzko apirilaren 4ko 13/2007 Foru Legearen 82. artikuluan ezarritakoarekin bat.</w:t>
      </w:r>
      <w:r>
        <w:t xml:space="preserve"> </w:t>
      </w:r>
      <w:r>
        <w:t xml:space="preserve">Arau horietan ezarritakoaren esparruan, eta kontuan hartuta eragiketaren garrantzi berezia, enpresa horrek Azkoiengo eskualdean duen eragin sozioekonomikoa oso handia baita, egokia da SODENAri berariazko baimena ematea Dynamobel SA finantzatzeko.</w:t>
      </w:r>
    </w:p>
    <w:p w14:paraId="28A08CFD" w14:textId="77E5B403" w:rsidR="00FF1A92" w:rsidRDefault="00106D80" w:rsidP="00106D80">
      <w:pPr>
        <w:pStyle w:val="DICTA-TEXTO"/>
      </w:pPr>
      <w:r>
        <w:rPr>
          <w:b/>
          <w:bCs/>
        </w:rPr>
        <w:t xml:space="preserve">Artikulu bakarra.</w:t>
      </w:r>
      <w:r>
        <w:t xml:space="preserve"> </w:t>
      </w:r>
      <w:r>
        <w:t xml:space="preserve">Dynamobel finantzatzeko baimena.</w:t>
      </w:r>
    </w:p>
    <w:p w14:paraId="66D0EDCD" w14:textId="6A6551FF" w:rsidR="00FF1A92" w:rsidRDefault="00FF1A92" w:rsidP="00106D80">
      <w:pPr>
        <w:pStyle w:val="DICTA-TEXTO"/>
      </w:pPr>
      <w:r>
        <w:t xml:space="preserve">Nafarroaren Garapen Sozietatea SLri baimena ematen zaio Dynamobel SA finantzatzeko eragiketak formalizatzeko. Eragiketa horiek dira, zehazki, bi milioi euroko ekarpena egitea kapital sozialari eta bi milioi eurorainoko abal bat ematea.</w:t>
      </w:r>
    </w:p>
    <w:p w14:paraId="6FA39318" w14:textId="1C57464C" w:rsidR="00D76157" w:rsidRDefault="00D76157" w:rsidP="00D76157">
      <w:pPr>
        <w:pStyle w:val="DICTA-TEXTO"/>
      </w:pPr>
      <w:r>
        <w:rPr>
          <w:b/>
          <w:bCs/>
        </w:rPr>
        <w:t xml:space="preserve">Azken xedapena.</w:t>
      </w:r>
      <w:r>
        <w:t xml:space="preserve"> </w:t>
      </w:r>
      <w:r>
        <w:t xml:space="preserve">Indarra hartzea.</w:t>
      </w:r>
    </w:p>
    <w:p w14:paraId="285E2966" w14:textId="68C8A0E4" w:rsidR="00E475F6" w:rsidRDefault="00D65C85" w:rsidP="00264AB2">
      <w:pPr>
        <w:pStyle w:val="DICTA-TEXTO"/>
      </w:pPr>
      <w:r>
        <w:t xml:space="preserve">Foru lege honek Nafarroako Aldizkari Ofizialean argitaratua izan eta biharamunean hartuko du indarra.</w:t>
      </w:r>
    </w:p>
    <w:sectPr w:rsidR="00E475F6"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 xml:space="preser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rPr>
      <w:t>2</w:t>
    </w:r>
    <w:r>
      <w:rPr>
        <w:rFonts w:ascii="Arial" w:hAnsi="Arial" w:cs="Arial"/>
      </w:rPr>
      <w:fldChar w:fldCharType="end"/>
    </w:r>
    <w:r>
      <w:rPr>
        <w:rFonts w:ascii="Arial" w:hAnsi="Arial"/>
      </w:rPr>
      <w:t xml:space="prese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attachedTemplate r:id="rId1"/>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7B77"/>
    <w:rsid w:val="000C5661"/>
    <w:rsid w:val="00101B39"/>
    <w:rsid w:val="001042C5"/>
    <w:rsid w:val="00106D80"/>
    <w:rsid w:val="00195FF0"/>
    <w:rsid w:val="001B100C"/>
    <w:rsid w:val="002351DC"/>
    <w:rsid w:val="00256846"/>
    <w:rsid w:val="00264AB2"/>
    <w:rsid w:val="002D2542"/>
    <w:rsid w:val="00334ED7"/>
    <w:rsid w:val="0034321B"/>
    <w:rsid w:val="0036062E"/>
    <w:rsid w:val="00396EC2"/>
    <w:rsid w:val="004C70B5"/>
    <w:rsid w:val="0073735A"/>
    <w:rsid w:val="007435FA"/>
    <w:rsid w:val="00823B61"/>
    <w:rsid w:val="00836D6B"/>
    <w:rsid w:val="008B7E73"/>
    <w:rsid w:val="00920AF6"/>
    <w:rsid w:val="00950366"/>
    <w:rsid w:val="009D7252"/>
    <w:rsid w:val="00AA03CF"/>
    <w:rsid w:val="00AF0358"/>
    <w:rsid w:val="00AF4EA1"/>
    <w:rsid w:val="00B269B3"/>
    <w:rsid w:val="00B4760C"/>
    <w:rsid w:val="00B80137"/>
    <w:rsid w:val="00C60221"/>
    <w:rsid w:val="00C76B7C"/>
    <w:rsid w:val="00C76D78"/>
    <w:rsid w:val="00CB0036"/>
    <w:rsid w:val="00D65C85"/>
    <w:rsid w:val="00D76157"/>
    <w:rsid w:val="00DA5297"/>
    <w:rsid w:val="00E1610D"/>
    <w:rsid w:val="00E475F6"/>
    <w:rsid w:val="00E65A31"/>
    <w:rsid w:val="00EB6306"/>
    <w:rsid w:val="00EC2EA6"/>
    <w:rsid w:val="00EE1E80"/>
    <w:rsid w:val="00F057FE"/>
    <w:rsid w:val="00F2250B"/>
    <w:rsid w:val="00FC4AA7"/>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u-E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u-ES"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u-ES"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u-ES" w:eastAsia="es-ES"/>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u-ES" w:eastAsia="es-ES"/>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u-ES" w:eastAsia="es-ES"/>
    </w:rPr>
  </w:style>
  <w:style w:type="character" w:customStyle="1" w:styleId="PiedepginaCar">
    <w:name w:val="Pie de página Car"/>
    <w:link w:val="Piedepgina"/>
    <w:uiPriority w:val="99"/>
    <w:rsid w:val="00C76B7C"/>
    <w:rPr>
      <w:sz w:val="26"/>
      <w:lang w:val="eu-ES"/>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u-E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User\JL\PLANTILLAS\DICTAMEN-T&#205;TULOS%20escudo%20actualiz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DICTAMEN-TÍTULOS escudo actualizado</Template>
  <TotalTime>12</TotalTime>
  <Pages>2</Pages>
  <Words>333</Words>
  <Characters>1640</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Cañas Palacios, Isabel</cp:lastModifiedBy>
  <cp:revision>2</cp:revision>
  <cp:lastPrinted>2024-04-19T08:43:00Z</cp:lastPrinted>
  <dcterms:created xsi:type="dcterms:W3CDTF">2024-05-23T12:33:00Z</dcterms:created>
  <dcterms:modified xsi:type="dcterms:W3CDTF">2024-05-23T12:33:00Z</dcterms:modified>
</cp:coreProperties>
</file>