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F8302" w14:textId="14749221" w:rsidR="00A56CCF" w:rsidRPr="00662E4B" w:rsidRDefault="00B07455" w:rsidP="00662E4B">
      <w:pPr>
        <w:ind w:firstLine="540"/>
        <w:rPr>
          <w:rFonts w:cs="Arial"/>
          <w:color w:val="000000"/>
          <w:szCs w:val="24"/>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w:t>
      </w:r>
      <w:r w:rsidR="00FC33C1" w:rsidRPr="00B07455">
        <w:rPr>
          <w:rFonts w:cs="Arial"/>
          <w:color w:val="000000"/>
          <w:szCs w:val="24"/>
        </w:rPr>
        <w:t>en relación con</w:t>
      </w:r>
      <w:r w:rsidRPr="00B07455">
        <w:rPr>
          <w:rFonts w:cs="Arial"/>
          <w:color w:val="000000"/>
          <w:szCs w:val="24"/>
        </w:rPr>
        <w:t xml:space="preserve"> la </w:t>
      </w:r>
      <w:r w:rsidR="002F227B">
        <w:rPr>
          <w:rFonts w:cs="Arial"/>
          <w:color w:val="000000"/>
          <w:szCs w:val="24"/>
        </w:rPr>
        <w:t xml:space="preserve">pregunta escrita </w:t>
      </w:r>
      <w:r w:rsidRPr="00B07455">
        <w:rPr>
          <w:rFonts w:cs="Arial"/>
          <w:szCs w:val="24"/>
        </w:rPr>
        <w:t>11-2</w:t>
      </w:r>
      <w:r w:rsidR="003F6512">
        <w:rPr>
          <w:rFonts w:cs="Arial"/>
          <w:szCs w:val="24"/>
        </w:rPr>
        <w:t>4</w:t>
      </w:r>
      <w:r w:rsidRPr="00B07455">
        <w:rPr>
          <w:rFonts w:cs="Arial"/>
          <w:szCs w:val="24"/>
        </w:rPr>
        <w:t>/</w:t>
      </w:r>
      <w:r w:rsidR="002E2482" w:rsidRPr="003F6512">
        <w:rPr>
          <w:rFonts w:cs="Arial"/>
          <w:szCs w:val="24"/>
        </w:rPr>
        <w:t>PES</w:t>
      </w:r>
      <w:r w:rsidR="00F6149B">
        <w:rPr>
          <w:rFonts w:cs="Arial"/>
          <w:szCs w:val="24"/>
        </w:rPr>
        <w:t>-00162</w:t>
      </w:r>
      <w:r w:rsidRPr="00B07455">
        <w:rPr>
          <w:rFonts w:cs="Arial"/>
          <w:szCs w:val="24"/>
        </w:rPr>
        <w:t xml:space="preserve"> solicitada por el Parlamentario Foral Ilmo. Sr. </w:t>
      </w:r>
      <w:r w:rsidR="00BC3A3A" w:rsidRPr="003F6512">
        <w:rPr>
          <w:rFonts w:cs="Arial"/>
          <w:color w:val="000000"/>
          <w:szCs w:val="24"/>
        </w:rPr>
        <w:t xml:space="preserve">don </w:t>
      </w:r>
      <w:r w:rsidR="00F6149B" w:rsidRPr="00F6149B">
        <w:rPr>
          <w:rFonts w:cs="Arial"/>
          <w:color w:val="000000"/>
          <w:szCs w:val="24"/>
        </w:rPr>
        <w:t>Félix Zapatero Soria</w:t>
      </w:r>
      <w:r w:rsidR="00BC3A3A" w:rsidRPr="00B07455">
        <w:rPr>
          <w:rFonts w:cs="Arial"/>
          <w:color w:val="000000"/>
          <w:szCs w:val="24"/>
        </w:rPr>
        <w:t>,</w:t>
      </w:r>
      <w:r w:rsidR="00BC3A3A" w:rsidRPr="00B07455">
        <w:rPr>
          <w:rFonts w:cs="Arial"/>
          <w:szCs w:val="24"/>
        </w:rPr>
        <w:t xml:space="preserve"> adscrito al Grupo Parlamentario</w:t>
      </w:r>
      <w:r w:rsidR="00BC3A3A">
        <w:rPr>
          <w:rFonts w:cs="Arial"/>
        </w:rPr>
        <w:t xml:space="preserve"> </w:t>
      </w:r>
      <w:r w:rsidR="00F6149B">
        <w:rPr>
          <w:rFonts w:cs="Arial"/>
        </w:rPr>
        <w:t>UPN</w:t>
      </w:r>
      <w:r w:rsidR="00BC3A3A" w:rsidRPr="00BC3A3A">
        <w:rPr>
          <w:rFonts w:cs="Arial"/>
        </w:rPr>
        <w:t xml:space="preserve">, </w:t>
      </w:r>
      <w:r>
        <w:rPr>
          <w:rFonts w:cs="Arial"/>
        </w:rPr>
        <w:t xml:space="preserve">sobre </w:t>
      </w:r>
      <w:r w:rsidR="00C66047">
        <w:rPr>
          <w:rFonts w:cs="Arial"/>
        </w:rPr>
        <w:t>la g</w:t>
      </w:r>
      <w:r w:rsidR="00F6149B" w:rsidRPr="00F6149B">
        <w:rPr>
          <w:rFonts w:cs="Arial"/>
        </w:rPr>
        <w:t>estión de residuos y el Scrap</w:t>
      </w:r>
      <w:r w:rsidR="00F6149B">
        <w:rPr>
          <w:rFonts w:cs="Arial"/>
        </w:rPr>
        <w:t xml:space="preserve">, </w:t>
      </w:r>
      <w:r w:rsidR="00BC3A3A" w:rsidRPr="00BC3A3A">
        <w:rPr>
          <w:rFonts w:cs="Arial"/>
        </w:rPr>
        <w:t xml:space="preserve">tiene el honor de </w:t>
      </w:r>
      <w:r w:rsidR="00F6149B">
        <w:rPr>
          <w:rFonts w:cs="Arial"/>
        </w:rPr>
        <w:t>informar lo siguiente</w:t>
      </w:r>
      <w:r>
        <w:rPr>
          <w:rFonts w:cs="Arial"/>
        </w:rPr>
        <w:t>:</w:t>
      </w:r>
    </w:p>
    <w:p w14:paraId="737E102D" w14:textId="239172A0" w:rsidR="00F6149B" w:rsidRPr="00F6149B" w:rsidRDefault="00F6149B" w:rsidP="00662E4B">
      <w:pPr>
        <w:ind w:firstLine="709"/>
        <w:rPr>
          <w:rFonts w:cs="Arial"/>
        </w:rPr>
      </w:pPr>
      <w:r w:rsidRPr="00F6149B">
        <w:rPr>
          <w:rFonts w:cs="Arial"/>
        </w:rPr>
        <w:t xml:space="preserve">En la actualidad, en el caso de los envases de vidrio, todas las entidades locales de Navarra, excepto una, han delegado la recogida y tratamiento de los envases de vidrio en </w:t>
      </w:r>
      <w:r w:rsidR="00FC33C1" w:rsidRPr="00F6149B">
        <w:rPr>
          <w:rFonts w:cs="Arial"/>
        </w:rPr>
        <w:t>Ecovidrio</w:t>
      </w:r>
      <w:r w:rsidRPr="00F6149B">
        <w:rPr>
          <w:rFonts w:cs="Arial"/>
        </w:rPr>
        <w:t xml:space="preserve">. En el caso de los envases ligeros, la recogida y selección de los envases se realiza por parte de las entidades locales. Posteriormente se entrega a </w:t>
      </w:r>
      <w:proofErr w:type="spellStart"/>
      <w:r w:rsidR="00FC33C1" w:rsidRPr="00F6149B">
        <w:rPr>
          <w:rFonts w:cs="Arial"/>
        </w:rPr>
        <w:t>Ecoembes</w:t>
      </w:r>
      <w:proofErr w:type="spellEnd"/>
      <w:r w:rsidRPr="00F6149B">
        <w:rPr>
          <w:rFonts w:cs="Arial"/>
        </w:rPr>
        <w:t>, (único SCRAP autorizado hasta la fecha) quien se hace cargo de la gestión final de los mismos y abona a las entidades locales en función de la cantidad y calidad de los envases recogidos.</w:t>
      </w:r>
    </w:p>
    <w:p w14:paraId="0AE2DBDF" w14:textId="7D228F77" w:rsidR="00F6149B" w:rsidRPr="00F6149B" w:rsidRDefault="00F6149B" w:rsidP="00662E4B">
      <w:pPr>
        <w:ind w:firstLine="709"/>
        <w:rPr>
          <w:rFonts w:cs="Arial"/>
        </w:rPr>
      </w:pPr>
      <w:r w:rsidRPr="00F6149B">
        <w:rPr>
          <w:rFonts w:cs="Arial"/>
        </w:rPr>
        <w:t>El Real Decreto 1055/2022, de 27 de diciembre, de envases y residuos de envases (RDERE en adelante) establece en su artículo 28.1 que los SCRAP están obligados a financiar la gestión de sus residuos y a la organización parcial o total cuando así lo decidan las entidades locales. En el artículo 32.1 se indica que será así salvo que se establezca en los convenios previstos en el artículo 33, que la organización total o parcial sea realizada por los SCRAPS.</w:t>
      </w:r>
    </w:p>
    <w:p w14:paraId="36606B34" w14:textId="31E6C2E4" w:rsidR="00F6149B" w:rsidRPr="00F6149B" w:rsidRDefault="00F6149B" w:rsidP="00662E4B">
      <w:pPr>
        <w:ind w:firstLine="709"/>
        <w:rPr>
          <w:rFonts w:cs="Arial"/>
        </w:rPr>
      </w:pPr>
      <w:r w:rsidRPr="00F6149B">
        <w:rPr>
          <w:rFonts w:cs="Arial"/>
        </w:rPr>
        <w:t xml:space="preserve">Con la entrada del RDERE, va a haber más de un SCRAP de envases autorizado, por lo que los costes de la recogida y gestión de </w:t>
      </w:r>
      <w:proofErr w:type="gramStart"/>
      <w:r w:rsidRPr="00F6149B">
        <w:rPr>
          <w:rFonts w:cs="Arial"/>
        </w:rPr>
        <w:t>los mismos</w:t>
      </w:r>
      <w:proofErr w:type="gramEnd"/>
      <w:r w:rsidRPr="00F6149B">
        <w:rPr>
          <w:rFonts w:cs="Arial"/>
        </w:rPr>
        <w:t xml:space="preserve"> se repartirá entre los SCRAP autorizados en función de la cantidad en peso de envases que ponga cada uno en el mercado. Para ello, se crea la sección de envases en el Registro de Productores de Productos, en el que cada productor declarará los envases puestos en el mercado y al SCRAP al que está acogido.</w:t>
      </w:r>
    </w:p>
    <w:p w14:paraId="350D0D21" w14:textId="7CCF65A3" w:rsidR="00C66047" w:rsidRDefault="00F6149B" w:rsidP="00662E4B">
      <w:pPr>
        <w:ind w:firstLine="709"/>
        <w:rPr>
          <w:rFonts w:cs="Arial"/>
        </w:rPr>
      </w:pPr>
      <w:r w:rsidRPr="00F6149B">
        <w:rPr>
          <w:rFonts w:cs="Arial"/>
        </w:rPr>
        <w:t>Los envases no se separan en función de su adhesión o no a un SCRAP. Se separan en función de su composición.</w:t>
      </w:r>
    </w:p>
    <w:p w14:paraId="0DD1F667" w14:textId="0536E470" w:rsidR="00F6149B" w:rsidRPr="00F6149B" w:rsidRDefault="00F6149B" w:rsidP="00662E4B">
      <w:pPr>
        <w:ind w:firstLine="709"/>
        <w:rPr>
          <w:rFonts w:cs="Arial"/>
          <w:color w:val="000000"/>
          <w:szCs w:val="24"/>
        </w:rPr>
      </w:pPr>
      <w:r w:rsidRPr="00F6149B">
        <w:rPr>
          <w:rFonts w:cs="Arial"/>
          <w:color w:val="000000"/>
          <w:szCs w:val="24"/>
        </w:rPr>
        <w:t xml:space="preserve">En el artículo 21.4 del RDERE se dice que los envases incluidos en un SCRAP podrán ser identificados mediante un símbolo acreditativo idéntico en todo el ámbito territorial de dicho sistema. En ningún caso dice que vaya a ser suprimido. </w:t>
      </w:r>
    </w:p>
    <w:p w14:paraId="4AE68C48" w14:textId="77777777" w:rsidR="00F6149B" w:rsidRPr="00F6149B" w:rsidRDefault="00F6149B" w:rsidP="00F6149B">
      <w:pPr>
        <w:ind w:firstLine="709"/>
        <w:rPr>
          <w:rFonts w:cs="Arial"/>
          <w:color w:val="000000"/>
          <w:szCs w:val="24"/>
        </w:rPr>
      </w:pPr>
      <w:r w:rsidRPr="00F6149B">
        <w:rPr>
          <w:rFonts w:cs="Arial"/>
          <w:color w:val="000000"/>
          <w:szCs w:val="24"/>
        </w:rPr>
        <w:t xml:space="preserve">Respecto a las cuestiones: </w:t>
      </w:r>
    </w:p>
    <w:p w14:paraId="09A08F36" w14:textId="77777777" w:rsidR="00F6149B" w:rsidRPr="00F6149B" w:rsidRDefault="00F6149B" w:rsidP="00F6149B">
      <w:pPr>
        <w:ind w:firstLine="709"/>
        <w:rPr>
          <w:rFonts w:cs="Arial"/>
          <w:color w:val="000000"/>
          <w:szCs w:val="24"/>
        </w:rPr>
      </w:pPr>
    </w:p>
    <w:p w14:paraId="4F6F46E5" w14:textId="25E64C92" w:rsidR="00F6149B" w:rsidRPr="00F6149B" w:rsidRDefault="00F6149B" w:rsidP="00662E4B">
      <w:pPr>
        <w:ind w:firstLine="709"/>
        <w:rPr>
          <w:rFonts w:cs="Arial"/>
          <w:color w:val="000000"/>
          <w:szCs w:val="24"/>
        </w:rPr>
      </w:pPr>
      <w:r w:rsidRPr="00F6149B">
        <w:rPr>
          <w:rFonts w:cs="Arial"/>
          <w:color w:val="000000"/>
          <w:szCs w:val="24"/>
        </w:rPr>
        <w:lastRenderedPageBreak/>
        <w:t>1- ¿Cómo se va a distinguir entre envases que pagan y no pagan si no tiene anagrama?</w:t>
      </w:r>
    </w:p>
    <w:p w14:paraId="38C72ECA" w14:textId="0F143324" w:rsidR="00F6149B" w:rsidRPr="00F6149B" w:rsidRDefault="00F6149B" w:rsidP="00662E4B">
      <w:pPr>
        <w:ind w:firstLine="709"/>
        <w:rPr>
          <w:rFonts w:cs="Arial"/>
          <w:color w:val="000000"/>
          <w:szCs w:val="24"/>
        </w:rPr>
      </w:pPr>
      <w:r w:rsidRPr="00F6149B">
        <w:rPr>
          <w:rFonts w:cs="Arial"/>
          <w:color w:val="000000"/>
          <w:szCs w:val="24"/>
        </w:rPr>
        <w:t>Por estar o no registrados en Registro de Productores de Producto y por el logo del sistema individual o colectivo de responsabilidad en su caso.</w:t>
      </w:r>
    </w:p>
    <w:p w14:paraId="5173D73E" w14:textId="14FAA51A" w:rsidR="00F6149B" w:rsidRPr="00F6149B" w:rsidRDefault="00F6149B" w:rsidP="00662E4B">
      <w:pPr>
        <w:ind w:firstLine="709"/>
        <w:rPr>
          <w:rFonts w:cs="Arial"/>
          <w:color w:val="000000"/>
          <w:szCs w:val="24"/>
        </w:rPr>
      </w:pPr>
      <w:r w:rsidRPr="00F6149B">
        <w:rPr>
          <w:rFonts w:cs="Arial"/>
          <w:color w:val="000000"/>
          <w:szCs w:val="24"/>
        </w:rPr>
        <w:t>2- ¿Con las toneladas que el Scrap se lleva y nos dice que no paga punto verde como se va a reflejar en el convenio?</w:t>
      </w:r>
    </w:p>
    <w:p w14:paraId="703E0F6E" w14:textId="54B113B9" w:rsidR="00F6149B" w:rsidRPr="00F6149B" w:rsidRDefault="00F6149B" w:rsidP="00662E4B">
      <w:pPr>
        <w:ind w:firstLine="709"/>
        <w:rPr>
          <w:rFonts w:cs="Arial"/>
          <w:color w:val="000000"/>
          <w:szCs w:val="24"/>
        </w:rPr>
      </w:pPr>
      <w:r w:rsidRPr="00F6149B">
        <w:rPr>
          <w:rFonts w:cs="Arial"/>
          <w:color w:val="000000"/>
          <w:szCs w:val="24"/>
        </w:rPr>
        <w:t xml:space="preserve">No hay ningún consenso en cómo se va a determinar el fraude a nivel estatal ni los mecanismos para perseguirlo. Actualmente, el fraude es asumido por el SCRAP. En caso de que en la negociación del nuevo convenio no se asuma el fraude por parte de los SCRAP, habrá que habilitar los mecanismos necesarios para determinarlo. En general se habilitan mecanismos de colaboración con los servicios jurídicos de cada </w:t>
      </w:r>
      <w:r w:rsidR="00FC33C1">
        <w:rPr>
          <w:rFonts w:cs="Arial"/>
          <w:color w:val="000000"/>
          <w:szCs w:val="24"/>
        </w:rPr>
        <w:t>comunidad autónoma</w:t>
      </w:r>
      <w:r w:rsidRPr="00F6149B">
        <w:rPr>
          <w:rFonts w:cs="Arial"/>
          <w:color w:val="000000"/>
          <w:szCs w:val="24"/>
        </w:rPr>
        <w:t>.</w:t>
      </w:r>
    </w:p>
    <w:p w14:paraId="78570C11" w14:textId="5B90946C" w:rsidR="00F6149B" w:rsidRPr="00F6149B" w:rsidRDefault="00F6149B" w:rsidP="00662E4B">
      <w:pPr>
        <w:ind w:firstLine="709"/>
        <w:rPr>
          <w:rFonts w:cs="Arial"/>
          <w:color w:val="000000"/>
          <w:szCs w:val="24"/>
        </w:rPr>
      </w:pPr>
      <w:r w:rsidRPr="00F6149B">
        <w:rPr>
          <w:rFonts w:cs="Arial"/>
          <w:color w:val="000000"/>
          <w:szCs w:val="24"/>
        </w:rPr>
        <w:t>3- ¿En Navarra se va a permitir tener solo un Scrap autorizado?</w:t>
      </w:r>
    </w:p>
    <w:p w14:paraId="72DD41A2" w14:textId="559CF1B0" w:rsidR="00F6149B" w:rsidRDefault="00F6149B" w:rsidP="00662E4B">
      <w:pPr>
        <w:ind w:firstLine="709"/>
        <w:rPr>
          <w:rFonts w:cs="Arial"/>
          <w:color w:val="000000"/>
          <w:szCs w:val="24"/>
        </w:rPr>
      </w:pPr>
      <w:r w:rsidRPr="00F6149B">
        <w:rPr>
          <w:rFonts w:cs="Arial"/>
          <w:color w:val="000000"/>
          <w:szCs w:val="24"/>
        </w:rPr>
        <w:t xml:space="preserve">Los SCRAP se autorizan en la </w:t>
      </w:r>
      <w:r w:rsidR="00FC33C1">
        <w:rPr>
          <w:rFonts w:cs="Arial"/>
          <w:color w:val="000000"/>
          <w:szCs w:val="24"/>
        </w:rPr>
        <w:t>comunidad autónoma</w:t>
      </w:r>
      <w:r w:rsidR="00FC33C1" w:rsidRPr="00F6149B">
        <w:rPr>
          <w:rFonts w:cs="Arial"/>
          <w:color w:val="000000"/>
          <w:szCs w:val="24"/>
        </w:rPr>
        <w:t xml:space="preserve"> </w:t>
      </w:r>
      <w:r w:rsidRPr="00F6149B">
        <w:rPr>
          <w:rFonts w:cs="Arial"/>
          <w:color w:val="000000"/>
          <w:szCs w:val="24"/>
        </w:rPr>
        <w:t>en la que tienen su sede social. En su solicitud de autorización es donde describen su zona geográfica de actuación, según el artículo 42.1 de la Ley 7/2022, de 8 de abril, de residuos y suelos contaminados para una economía circular. En Navarra no se ha solicitado por el momento ninguna autorización.</w:t>
      </w:r>
    </w:p>
    <w:p w14:paraId="2D2BEA93" w14:textId="6D5F0BD5" w:rsidR="00A56CCF" w:rsidRPr="00A56CCF" w:rsidRDefault="00A56CCF" w:rsidP="00A56CCF">
      <w:pPr>
        <w:ind w:firstLine="540"/>
        <w:rPr>
          <w:rFonts w:cs="Arial"/>
          <w:color w:val="000000"/>
          <w:szCs w:val="24"/>
        </w:rPr>
      </w:pPr>
      <w:r w:rsidRPr="00A56CCF">
        <w:rPr>
          <w:rFonts w:cs="Arial"/>
          <w:color w:val="000000"/>
          <w:szCs w:val="24"/>
        </w:rPr>
        <w:t>Es cuanto tengo el honor de informar</w:t>
      </w:r>
      <w:r w:rsidR="00BF37AF">
        <w:rPr>
          <w:rFonts w:cs="Arial"/>
          <w:color w:val="000000"/>
          <w:szCs w:val="24"/>
        </w:rPr>
        <w:t>, en cumplimiento del artículo 215</w:t>
      </w:r>
      <w:r>
        <w:rPr>
          <w:rFonts w:cs="Arial"/>
          <w:color w:val="000000"/>
          <w:szCs w:val="24"/>
        </w:rPr>
        <w:t xml:space="preserve"> </w:t>
      </w:r>
      <w:r w:rsidRPr="00A56CCF">
        <w:rPr>
          <w:rFonts w:cs="Arial"/>
          <w:color w:val="000000"/>
          <w:szCs w:val="24"/>
        </w:rPr>
        <w:t>del Reglamento del Parlamento de Navarra</w:t>
      </w:r>
    </w:p>
    <w:p w14:paraId="63154EA1" w14:textId="77777777" w:rsidR="00662E4B" w:rsidRDefault="00A56CCF" w:rsidP="00662E4B">
      <w:pP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844A0E">
        <w:rPr>
          <w:rFonts w:cs="Arial"/>
          <w:color w:val="000000"/>
          <w:szCs w:val="24"/>
        </w:rPr>
        <w:t>18</w:t>
      </w:r>
      <w:r w:rsidR="00934199" w:rsidRPr="00A56CCF">
        <w:rPr>
          <w:rFonts w:cs="Arial"/>
          <w:color w:val="000000"/>
          <w:szCs w:val="24"/>
        </w:rPr>
        <w:t xml:space="preserve"> de </w:t>
      </w:r>
      <w:r w:rsidR="00C66047">
        <w:rPr>
          <w:rFonts w:cs="Arial"/>
          <w:color w:val="000000"/>
          <w:szCs w:val="24"/>
        </w:rPr>
        <w:t>abril</w:t>
      </w:r>
      <w:r w:rsidRPr="00A56CCF">
        <w:rPr>
          <w:rFonts w:cs="Arial"/>
          <w:color w:val="000000"/>
          <w:szCs w:val="24"/>
        </w:rPr>
        <w:t xml:space="preserve"> </w:t>
      </w:r>
      <w:r w:rsidR="00697CA3">
        <w:rPr>
          <w:rFonts w:cs="Arial"/>
          <w:color w:val="000000"/>
          <w:szCs w:val="24"/>
        </w:rPr>
        <w:t>de 202</w:t>
      </w:r>
      <w:r w:rsidR="003F6512">
        <w:rPr>
          <w:rFonts w:cs="Arial"/>
          <w:color w:val="000000"/>
          <w:szCs w:val="24"/>
        </w:rPr>
        <w:t>4</w:t>
      </w:r>
    </w:p>
    <w:p w14:paraId="0DEE07FE" w14:textId="4C3B0BE6" w:rsidR="0083638A" w:rsidRPr="00A77EEE" w:rsidRDefault="00662E4B" w:rsidP="00662E4B">
      <w:pPr>
        <w:rPr>
          <w:rFonts w:cs="Arial"/>
          <w:color w:val="000000"/>
          <w:szCs w:val="24"/>
        </w:rPr>
      </w:pPr>
      <w:r w:rsidRPr="00662E4B">
        <w:rPr>
          <w:rFonts w:cs="Arial"/>
          <w:szCs w:val="24"/>
        </w:rPr>
        <w:t>El Consejero de Desarrollo Rural y Medio Ambiente</w:t>
      </w:r>
      <w:r w:rsidRPr="00662E4B">
        <w:rPr>
          <w:rFonts w:cs="Arial"/>
          <w:color w:val="000000"/>
          <w:szCs w:val="24"/>
        </w:rPr>
        <w:t xml:space="preserve">: </w:t>
      </w:r>
      <w:r w:rsidR="0083638A" w:rsidRPr="008F46DB">
        <w:rPr>
          <w:rFonts w:cs="Arial"/>
          <w:color w:val="000000"/>
          <w:szCs w:val="24"/>
        </w:rPr>
        <w:t>José María Ai</w:t>
      </w:r>
      <w:r w:rsidR="0083638A">
        <w:rPr>
          <w:rFonts w:cs="Arial"/>
          <w:color w:val="000000"/>
          <w:szCs w:val="24"/>
        </w:rPr>
        <w:t>erdi Fernández de Barrena</w:t>
      </w:r>
    </w:p>
    <w:p w14:paraId="7FB55351" w14:textId="77777777" w:rsidR="00D77C2F" w:rsidRPr="00E07A7D" w:rsidRDefault="00D77C2F" w:rsidP="0083638A">
      <w:pPr>
        <w:jc w:val="center"/>
        <w:rPr>
          <w:rFonts w:cs="Arial"/>
          <w:color w:val="000000"/>
          <w:szCs w:val="24"/>
        </w:rPr>
      </w:pPr>
    </w:p>
    <w:sectPr w:rsidR="00D77C2F" w:rsidRPr="00E07A7D"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659CA" w14:textId="77777777" w:rsidR="00F6149B" w:rsidRDefault="00F6149B" w:rsidP="00381BB8">
      <w:pPr>
        <w:pStyle w:val="Encabezado"/>
      </w:pPr>
      <w:r>
        <w:separator/>
      </w:r>
    </w:p>
  </w:endnote>
  <w:endnote w:type="continuationSeparator" w:id="0">
    <w:p w14:paraId="237ACD00" w14:textId="77777777" w:rsidR="00F6149B" w:rsidRDefault="00F6149B"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3F0D"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844A0E">
      <w:rPr>
        <w:rStyle w:val="Nmerodepgina"/>
        <w:rFonts w:cs="Arial"/>
        <w:noProof/>
      </w:rPr>
      <w:t>3</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A5D08" w14:textId="77777777" w:rsidR="00F6149B" w:rsidRDefault="00F6149B" w:rsidP="00381BB8">
      <w:pPr>
        <w:pStyle w:val="Encabezado"/>
      </w:pPr>
      <w:r>
        <w:separator/>
      </w:r>
    </w:p>
  </w:footnote>
  <w:footnote w:type="continuationSeparator" w:id="0">
    <w:p w14:paraId="10A294DA" w14:textId="77777777" w:rsidR="00F6149B" w:rsidRDefault="00F6149B"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9F2C2" w14:textId="2E12C598"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826166108">
    <w:abstractNumId w:val="7"/>
  </w:num>
  <w:num w:numId="2" w16cid:durableId="987251310">
    <w:abstractNumId w:val="3"/>
  </w:num>
  <w:num w:numId="3" w16cid:durableId="382221391">
    <w:abstractNumId w:val="8"/>
  </w:num>
  <w:num w:numId="4" w16cid:durableId="916019935">
    <w:abstractNumId w:val="14"/>
  </w:num>
  <w:num w:numId="5" w16cid:durableId="68693340">
    <w:abstractNumId w:val="1"/>
  </w:num>
  <w:num w:numId="6" w16cid:durableId="408158277">
    <w:abstractNumId w:val="13"/>
  </w:num>
  <w:num w:numId="7" w16cid:durableId="937908643">
    <w:abstractNumId w:val="5"/>
  </w:num>
  <w:num w:numId="8" w16cid:durableId="87047107">
    <w:abstractNumId w:val="4"/>
  </w:num>
  <w:num w:numId="9" w16cid:durableId="1293631060">
    <w:abstractNumId w:val="6"/>
  </w:num>
  <w:num w:numId="10" w16cid:durableId="13158418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41882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8323509">
    <w:abstractNumId w:val="15"/>
  </w:num>
  <w:num w:numId="13" w16cid:durableId="708919563">
    <w:abstractNumId w:val="2"/>
  </w:num>
  <w:num w:numId="14" w16cid:durableId="1826437750">
    <w:abstractNumId w:val="12"/>
  </w:num>
  <w:num w:numId="15" w16cid:durableId="713625524">
    <w:abstractNumId w:val="0"/>
  </w:num>
  <w:num w:numId="16" w16cid:durableId="1191529115">
    <w:abstractNumId w:val="9"/>
  </w:num>
  <w:num w:numId="17" w16cid:durableId="427238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9B"/>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0D4F"/>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5C3D"/>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2C6A"/>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2E4B"/>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5743"/>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2D89"/>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0E"/>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4AF"/>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6B5"/>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047"/>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149B"/>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3C1"/>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0E3BB0"/>
  <w15:chartTrackingRefBased/>
  <w15:docId w15:val="{F8D298E3-BCD4-469E-8070-E061DD41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5</TotalTime>
  <Pages>2</Pages>
  <Words>618</Words>
  <Characters>2919</Characters>
  <Application>Microsoft Office Word</Application>
  <DocSecurity>0</DocSecurity>
  <Lines>324</Lines>
  <Paragraphs>353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5</cp:revision>
  <cp:lastPrinted>2024-04-15T08:27:00Z</cp:lastPrinted>
  <dcterms:created xsi:type="dcterms:W3CDTF">2024-04-19T07:50:00Z</dcterms:created>
  <dcterms:modified xsi:type="dcterms:W3CDTF">2024-05-28T13:38:00Z</dcterms:modified>
</cp:coreProperties>
</file>