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36C7" w14:textId="30AB3D9A" w:rsidR="003E79B0" w:rsidRPr="003E79B0" w:rsidRDefault="00D542C4" w:rsidP="00A04717">
      <w:pPr>
        <w:spacing w:line="360" w:lineRule="auto"/>
        <w:jc w:val="both"/>
        <w:rPr>
          <w:rFonts w:ascii="Arial" w:hAnsi="Arial" w:cs="Arial"/>
        </w:rPr>
      </w:pPr>
      <w:r>
        <w:rPr>
          <w:rFonts w:ascii="Arial" w:hAnsi="Arial"/>
        </w:rPr>
        <w:t xml:space="preserve">2024ko apirilaren 12a</w:t>
      </w:r>
    </w:p>
    <w:p w14:paraId="7194522E" w14:textId="77777777" w:rsidR="00D542C4" w:rsidRDefault="005C03DB" w:rsidP="00A04717">
      <w:pPr>
        <w:spacing w:line="360" w:lineRule="auto"/>
        <w:jc w:val="both"/>
        <w:rPr>
          <w:rFonts w:ascii="Arial" w:hAnsi="Arial" w:cs="Arial"/>
        </w:rPr>
      </w:pPr>
      <w:r>
        <w:rPr>
          <w:rFonts w:ascii="Arial" w:hAnsi="Arial"/>
        </w:rPr>
        <w:t xml:space="preserve">Nafarroako Alderdi Sozialistari atxikitako foru parlamentari Ainhoa Unzu Gárate andreak idatziz erantzuteko galdera egin du –2024ko martxoaren 19ko 202402286 irteera zenbakia du Nafarroako Parlamentuan– Nafarroan lehen sektorearen tributazioari lotutako hainbat gairi buruzko informazioa eskatzeko (11-24/PES-154). Hona Ekonomia eta Ogasuneko kontseilariak horri buruz ematen dion informazioa:</w:t>
      </w:r>
    </w:p>
    <w:p w14:paraId="3D56F0A5" w14:textId="346714C3" w:rsidR="005A0B88" w:rsidRPr="003E79B0" w:rsidRDefault="004B2BFE" w:rsidP="005A0B88">
      <w:pPr>
        <w:spacing w:before="240" w:after="240" w:line="360" w:lineRule="auto"/>
        <w:jc w:val="both"/>
        <w:rPr>
          <w:b/>
          <w:rFonts w:ascii="Arial" w:hAnsi="Arial" w:cs="Arial"/>
        </w:rPr>
      </w:pPr>
      <w:r>
        <w:rPr>
          <w:b/>
          <w:rFonts w:ascii="Arial" w:hAnsi="Arial"/>
        </w:rPr>
        <w:t xml:space="preserve">1.- Lehen sektoreko jardueran autonomo gisa PFEZa tributatzen duten nekazariak eta abeltzainak.</w:t>
      </w:r>
      <w:r>
        <w:rPr>
          <w:b/>
          <w:rFonts w:ascii="Arial" w:hAnsi="Arial"/>
        </w:rPr>
        <w:t xml:space="preserve"> </w:t>
      </w:r>
      <w:r>
        <w:rPr>
          <w:b/>
          <w:rFonts w:ascii="Arial" w:hAnsi="Arial"/>
        </w:rPr>
        <w:t xml:space="preserve">Jarduera nagusia eta jarduera osagarria.</w:t>
      </w:r>
    </w:p>
    <w:tbl>
      <w:tblPr>
        <w:tblW w:w="580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1134"/>
      </w:tblGrid>
      <w:tr w:rsidR="005A0B88" w:rsidRPr="003E79B0" w14:paraId="1CBE8B36" w14:textId="77777777" w:rsidTr="00D30065">
        <w:trPr>
          <w:trHeight w:val="288"/>
        </w:trPr>
        <w:tc>
          <w:tcPr>
            <w:tcW w:w="4673" w:type="dxa"/>
            <w:shd w:val="clear" w:color="auto" w:fill="auto"/>
            <w:noWrap/>
            <w:vAlign w:val="bottom"/>
            <w:hideMark/>
          </w:tcPr>
          <w:p w14:paraId="4B5AB47F"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Aitorpen kopurua guztira</w:t>
            </w:r>
          </w:p>
        </w:tc>
        <w:tc>
          <w:tcPr>
            <w:tcW w:w="1134" w:type="dxa"/>
            <w:shd w:val="clear" w:color="auto" w:fill="auto"/>
            <w:noWrap/>
            <w:vAlign w:val="bottom"/>
            <w:hideMark/>
          </w:tcPr>
          <w:p w14:paraId="71CB3BB5"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18.227</w:t>
            </w:r>
          </w:p>
        </w:tc>
      </w:tr>
      <w:tr w:rsidR="005A0B88" w:rsidRPr="003E79B0" w14:paraId="5EE32E23" w14:textId="77777777" w:rsidTr="00D30065">
        <w:trPr>
          <w:trHeight w:val="288"/>
        </w:trPr>
        <w:tc>
          <w:tcPr>
            <w:tcW w:w="4673" w:type="dxa"/>
            <w:shd w:val="clear" w:color="auto" w:fill="auto"/>
            <w:noWrap/>
            <w:vAlign w:val="bottom"/>
            <w:hideMark/>
          </w:tcPr>
          <w:p w14:paraId="54EF6537"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Lan etekinik gabeko aitorpen kopurua</w:t>
            </w:r>
          </w:p>
        </w:tc>
        <w:tc>
          <w:tcPr>
            <w:tcW w:w="1134" w:type="dxa"/>
            <w:shd w:val="clear" w:color="auto" w:fill="auto"/>
            <w:noWrap/>
            <w:vAlign w:val="bottom"/>
            <w:hideMark/>
          </w:tcPr>
          <w:p w14:paraId="7F0ADD92"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4.438</w:t>
            </w:r>
          </w:p>
        </w:tc>
      </w:tr>
      <w:tr w:rsidR="005A0B88" w:rsidRPr="003E79B0" w14:paraId="7C7E333E" w14:textId="77777777" w:rsidTr="00D30065">
        <w:trPr>
          <w:trHeight w:val="288"/>
        </w:trPr>
        <w:tc>
          <w:tcPr>
            <w:tcW w:w="4673" w:type="dxa"/>
            <w:shd w:val="clear" w:color="auto" w:fill="auto"/>
            <w:noWrap/>
            <w:vAlign w:val="bottom"/>
          </w:tcPr>
          <w:p w14:paraId="4C6DD78B"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Lan etekinik, jarduera profesionalik edota beste jarduera enpresarialik gabeko aitorpen kopurua</w:t>
            </w:r>
          </w:p>
        </w:tc>
        <w:tc>
          <w:tcPr>
            <w:tcW w:w="1134" w:type="dxa"/>
            <w:shd w:val="clear" w:color="auto" w:fill="auto"/>
            <w:noWrap/>
            <w:vAlign w:val="bottom"/>
          </w:tcPr>
          <w:p w14:paraId="2CF2DFBD"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3.700</w:t>
            </w:r>
          </w:p>
        </w:tc>
      </w:tr>
    </w:tbl>
    <w:p w14:paraId="1080CCB5" w14:textId="77777777" w:rsidR="005A0B88" w:rsidRPr="003E79B0" w:rsidRDefault="004B2BFE" w:rsidP="005A0B88">
      <w:pPr>
        <w:autoSpaceDE w:val="0"/>
        <w:autoSpaceDN w:val="0"/>
        <w:adjustRightInd w:val="0"/>
        <w:spacing w:before="240" w:after="240" w:line="360" w:lineRule="auto"/>
        <w:jc w:val="both"/>
        <w:rPr>
          <w:b/>
          <w:rFonts w:ascii="Arial" w:eastAsiaTheme="minorHAnsi" w:hAnsi="Arial" w:cs="Arial"/>
        </w:rPr>
      </w:pPr>
      <w:r>
        <w:rPr>
          <w:b/>
          <w:rFonts w:ascii="Arial" w:hAnsi="Arial"/>
        </w:rPr>
        <w:t xml:space="preserve">2.- Zerga oinarria zehazteko modalitateak, oinarriak eta etekin garbiak PFEZaren 2022ko aitorpenean.</w:t>
      </w:r>
    </w:p>
    <w:tbl>
      <w:tblPr>
        <w:tblW w:w="4705" w:type="dxa"/>
        <w:tblInd w:w="75" w:type="dxa"/>
        <w:tblCellMar>
          <w:left w:w="70" w:type="dxa"/>
          <w:right w:w="70" w:type="dxa"/>
        </w:tblCellMar>
        <w:tblLook w:val="04A0" w:firstRow="1" w:lastRow="0" w:firstColumn="1" w:lastColumn="0" w:noHBand="0" w:noVBand="1"/>
      </w:tblPr>
      <w:tblGrid>
        <w:gridCol w:w="1880"/>
        <w:gridCol w:w="1670"/>
        <w:gridCol w:w="1376"/>
      </w:tblGrid>
      <w:tr w:rsidR="005A0B88" w:rsidRPr="003E79B0" w14:paraId="3608FFD4" w14:textId="77777777" w:rsidTr="00D30065">
        <w:trPr>
          <w:trHeight w:val="864"/>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A06E8"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Aitorpen kopurua tributazio motaren arabera</w:t>
            </w:r>
          </w:p>
        </w:tc>
        <w:tc>
          <w:tcPr>
            <w:tcW w:w="1533" w:type="dxa"/>
            <w:tcBorders>
              <w:top w:val="single" w:sz="4" w:space="0" w:color="auto"/>
              <w:left w:val="nil"/>
              <w:bottom w:val="single" w:sz="4" w:space="0" w:color="auto"/>
              <w:right w:val="single" w:sz="4" w:space="0" w:color="auto"/>
            </w:tcBorders>
            <w:shd w:val="clear" w:color="auto" w:fill="auto"/>
            <w:vAlign w:val="bottom"/>
            <w:hideMark/>
          </w:tcPr>
          <w:p w14:paraId="2527D33E"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Etekin garbia guztira (eurotan)</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03DFA6A7"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Etekin garbia batez beste (eurotan)</w:t>
            </w:r>
          </w:p>
        </w:tc>
      </w:tr>
      <w:tr w:rsidR="005A0B88" w:rsidRPr="003E79B0" w14:paraId="0F5D75F3" w14:textId="77777777" w:rsidTr="00D30065">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24B3379"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EDN (328)</w:t>
            </w:r>
          </w:p>
        </w:tc>
        <w:tc>
          <w:tcPr>
            <w:tcW w:w="1533" w:type="dxa"/>
            <w:tcBorders>
              <w:top w:val="nil"/>
              <w:left w:val="nil"/>
              <w:bottom w:val="single" w:sz="4" w:space="0" w:color="auto"/>
              <w:right w:val="single" w:sz="4" w:space="0" w:color="auto"/>
            </w:tcBorders>
            <w:shd w:val="clear" w:color="auto" w:fill="auto"/>
            <w:noWrap/>
            <w:vAlign w:val="bottom"/>
            <w:hideMark/>
          </w:tcPr>
          <w:p w14:paraId="6A02590F"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6.896.208,39</w:t>
            </w:r>
          </w:p>
        </w:tc>
        <w:tc>
          <w:tcPr>
            <w:tcW w:w="1292" w:type="dxa"/>
            <w:tcBorders>
              <w:top w:val="nil"/>
              <w:left w:val="nil"/>
              <w:bottom w:val="single" w:sz="4" w:space="0" w:color="auto"/>
              <w:right w:val="single" w:sz="4" w:space="0" w:color="auto"/>
            </w:tcBorders>
            <w:shd w:val="clear" w:color="auto" w:fill="auto"/>
            <w:noWrap/>
            <w:vAlign w:val="bottom"/>
            <w:hideMark/>
          </w:tcPr>
          <w:p w14:paraId="771F85D0"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21025,03</w:t>
            </w:r>
          </w:p>
        </w:tc>
      </w:tr>
      <w:tr w:rsidR="005A0B88" w:rsidRPr="003E79B0" w14:paraId="482D7822" w14:textId="77777777" w:rsidTr="00D30065">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F82A8A6"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EDS (2.642)</w:t>
            </w:r>
          </w:p>
        </w:tc>
        <w:tc>
          <w:tcPr>
            <w:tcW w:w="1533" w:type="dxa"/>
            <w:tcBorders>
              <w:top w:val="nil"/>
              <w:left w:val="nil"/>
              <w:bottom w:val="single" w:sz="4" w:space="0" w:color="auto"/>
              <w:right w:val="single" w:sz="4" w:space="0" w:color="auto"/>
            </w:tcBorders>
            <w:shd w:val="clear" w:color="auto" w:fill="auto"/>
            <w:noWrap/>
            <w:vAlign w:val="bottom"/>
            <w:hideMark/>
          </w:tcPr>
          <w:p w14:paraId="228C92B7"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41.558.939,48</w:t>
            </w:r>
          </w:p>
        </w:tc>
        <w:tc>
          <w:tcPr>
            <w:tcW w:w="1292" w:type="dxa"/>
            <w:tcBorders>
              <w:top w:val="nil"/>
              <w:left w:val="nil"/>
              <w:bottom w:val="single" w:sz="4" w:space="0" w:color="auto"/>
              <w:right w:val="single" w:sz="4" w:space="0" w:color="auto"/>
            </w:tcBorders>
            <w:shd w:val="clear" w:color="auto" w:fill="auto"/>
            <w:noWrap/>
            <w:vAlign w:val="bottom"/>
            <w:hideMark/>
          </w:tcPr>
          <w:p w14:paraId="05E548FB"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15730,11</w:t>
            </w:r>
          </w:p>
        </w:tc>
      </w:tr>
      <w:tr w:rsidR="005A0B88" w:rsidRPr="003E79B0" w14:paraId="6C39EC16" w14:textId="77777777" w:rsidTr="00D30065">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3669DFA"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EDE (15.257)</w:t>
            </w:r>
          </w:p>
        </w:tc>
        <w:tc>
          <w:tcPr>
            <w:tcW w:w="1533" w:type="dxa"/>
            <w:tcBorders>
              <w:top w:val="nil"/>
              <w:left w:val="nil"/>
              <w:bottom w:val="single" w:sz="4" w:space="0" w:color="auto"/>
              <w:right w:val="single" w:sz="4" w:space="0" w:color="auto"/>
            </w:tcBorders>
            <w:shd w:val="clear" w:color="auto" w:fill="auto"/>
            <w:noWrap/>
            <w:vAlign w:val="bottom"/>
            <w:hideMark/>
          </w:tcPr>
          <w:p w14:paraId="62C72954"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117.187.527,44</w:t>
            </w:r>
          </w:p>
        </w:tc>
        <w:tc>
          <w:tcPr>
            <w:tcW w:w="1292" w:type="dxa"/>
            <w:tcBorders>
              <w:top w:val="nil"/>
              <w:left w:val="nil"/>
              <w:bottom w:val="single" w:sz="4" w:space="0" w:color="auto"/>
              <w:right w:val="single" w:sz="4" w:space="0" w:color="auto"/>
            </w:tcBorders>
            <w:shd w:val="clear" w:color="auto" w:fill="auto"/>
            <w:noWrap/>
            <w:vAlign w:val="bottom"/>
            <w:hideMark/>
          </w:tcPr>
          <w:p w14:paraId="0D896D7C"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7680,90</w:t>
            </w:r>
          </w:p>
        </w:tc>
      </w:tr>
      <w:tr w:rsidR="005A0B88" w:rsidRPr="003E79B0" w14:paraId="5DEF6004" w14:textId="77777777" w:rsidTr="00D30065">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522F11F"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Guztira (18.227)</w:t>
            </w:r>
          </w:p>
        </w:tc>
        <w:tc>
          <w:tcPr>
            <w:tcW w:w="1533" w:type="dxa"/>
            <w:tcBorders>
              <w:top w:val="nil"/>
              <w:left w:val="nil"/>
              <w:bottom w:val="single" w:sz="4" w:space="0" w:color="auto"/>
              <w:right w:val="single" w:sz="4" w:space="0" w:color="auto"/>
            </w:tcBorders>
            <w:shd w:val="clear" w:color="auto" w:fill="auto"/>
            <w:noWrap/>
            <w:vAlign w:val="bottom"/>
            <w:hideMark/>
          </w:tcPr>
          <w:p w14:paraId="2888DFBF"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165.642.675,31</w:t>
            </w:r>
          </w:p>
        </w:tc>
        <w:tc>
          <w:tcPr>
            <w:tcW w:w="1292" w:type="dxa"/>
            <w:tcBorders>
              <w:top w:val="nil"/>
              <w:left w:val="nil"/>
              <w:bottom w:val="single" w:sz="4" w:space="0" w:color="auto"/>
              <w:right w:val="single" w:sz="4" w:space="0" w:color="auto"/>
            </w:tcBorders>
            <w:shd w:val="clear" w:color="auto" w:fill="auto"/>
            <w:noWrap/>
            <w:vAlign w:val="bottom"/>
            <w:hideMark/>
          </w:tcPr>
          <w:p w14:paraId="25FC5FAE"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9087,76</w:t>
            </w:r>
          </w:p>
        </w:tc>
      </w:tr>
    </w:tbl>
    <w:p w14:paraId="43435012" w14:textId="77777777" w:rsidR="005A0B88" w:rsidRPr="003E79B0" w:rsidRDefault="004B2BFE" w:rsidP="005A0B88">
      <w:pPr>
        <w:autoSpaceDE w:val="0"/>
        <w:autoSpaceDN w:val="0"/>
        <w:adjustRightInd w:val="0"/>
        <w:spacing w:before="240" w:after="240" w:line="360" w:lineRule="auto"/>
        <w:jc w:val="both"/>
        <w:rPr>
          <w:b/>
          <w:rFonts w:ascii="Arial" w:eastAsiaTheme="minorHAnsi" w:hAnsi="Arial" w:cs="Arial"/>
        </w:rPr>
      </w:pPr>
      <w:r>
        <w:rPr>
          <w:b/>
          <w:rFonts w:ascii="Arial" w:hAnsi="Arial"/>
        </w:rPr>
        <w:t xml:space="preserve">3.- Nekazaritzako nahiz abeltzaintzako jarduerak egiten dituzten eta 2023ko urteko BEZa itzultzeko eskatu duten zergadunak:</w:t>
      </w:r>
    </w:p>
    <w:tbl>
      <w:tblPr>
        <w:tblStyle w:val="Tablaconcuadrcula1"/>
        <w:tblW w:w="0" w:type="auto"/>
        <w:tblInd w:w="720" w:type="dxa"/>
        <w:tblLook w:val="04A0" w:firstRow="1" w:lastRow="0" w:firstColumn="1" w:lastColumn="0" w:noHBand="0" w:noVBand="1"/>
      </w:tblPr>
      <w:tblGrid>
        <w:gridCol w:w="2294"/>
        <w:gridCol w:w="1555"/>
        <w:gridCol w:w="2019"/>
        <w:gridCol w:w="1906"/>
      </w:tblGrid>
      <w:tr w:rsidR="005A0B88" w:rsidRPr="003E79B0" w14:paraId="12AAC856" w14:textId="77777777" w:rsidTr="00D30065">
        <w:tc>
          <w:tcPr>
            <w:tcW w:w="2365" w:type="dxa"/>
          </w:tcPr>
          <w:p w14:paraId="08639B7C"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*Zergadun mota</w:t>
            </w:r>
          </w:p>
        </w:tc>
        <w:tc>
          <w:tcPr>
            <w:tcW w:w="1607" w:type="dxa"/>
          </w:tcPr>
          <w:p w14:paraId="70508876"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Kopurua</w:t>
            </w:r>
          </w:p>
        </w:tc>
        <w:tc>
          <w:tcPr>
            <w:tcW w:w="2056" w:type="dxa"/>
          </w:tcPr>
          <w:p w14:paraId="5C8FFB58"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Zenbatekoa (eurotan)</w:t>
            </w:r>
          </w:p>
        </w:tc>
        <w:tc>
          <w:tcPr>
            <w:tcW w:w="1972" w:type="dxa"/>
          </w:tcPr>
          <w:p w14:paraId="1AAA4F24"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Batez besteko zenbatekoa (euroak)</w:t>
            </w:r>
          </w:p>
        </w:tc>
      </w:tr>
      <w:tr w:rsidR="005A0B88" w:rsidRPr="003E79B0" w14:paraId="524D727D" w14:textId="77777777" w:rsidTr="00D30065">
        <w:tc>
          <w:tcPr>
            <w:tcW w:w="2365" w:type="dxa"/>
          </w:tcPr>
          <w:p w14:paraId="3CD43DD2"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Pertsona fisikoak</w:t>
            </w:r>
          </w:p>
        </w:tc>
        <w:tc>
          <w:tcPr>
            <w:tcW w:w="1607" w:type="dxa"/>
          </w:tcPr>
          <w:p w14:paraId="35546C12"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766</w:t>
            </w:r>
          </w:p>
        </w:tc>
        <w:tc>
          <w:tcPr>
            <w:tcW w:w="2056" w:type="dxa"/>
          </w:tcPr>
          <w:p w14:paraId="02C2ACA9"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13988440,57</w:t>
            </w:r>
          </w:p>
        </w:tc>
        <w:tc>
          <w:tcPr>
            <w:tcW w:w="1972" w:type="dxa"/>
          </w:tcPr>
          <w:p w14:paraId="016672C4"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18261,67</w:t>
            </w:r>
          </w:p>
        </w:tc>
      </w:tr>
      <w:tr w:rsidR="005A0B88" w:rsidRPr="003E79B0" w14:paraId="7FFDF6CC" w14:textId="77777777" w:rsidTr="00D30065">
        <w:tc>
          <w:tcPr>
            <w:tcW w:w="2365" w:type="dxa"/>
          </w:tcPr>
          <w:p w14:paraId="002E1979"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Pertsona juridikoak</w:t>
            </w:r>
          </w:p>
        </w:tc>
        <w:tc>
          <w:tcPr>
            <w:tcW w:w="1607" w:type="dxa"/>
          </w:tcPr>
          <w:p w14:paraId="0393E531"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565</w:t>
            </w:r>
          </w:p>
        </w:tc>
        <w:tc>
          <w:tcPr>
            <w:tcW w:w="2056" w:type="dxa"/>
          </w:tcPr>
          <w:p w14:paraId="5BCC3F0D"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20462955,24</w:t>
            </w:r>
          </w:p>
        </w:tc>
        <w:tc>
          <w:tcPr>
            <w:tcW w:w="1972" w:type="dxa"/>
          </w:tcPr>
          <w:p w14:paraId="459BAB0D"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36217,62</w:t>
            </w:r>
          </w:p>
        </w:tc>
      </w:tr>
      <w:tr w:rsidR="005A0B88" w:rsidRPr="003E79B0" w14:paraId="6C3DBD06" w14:textId="77777777" w:rsidTr="00D30065">
        <w:tc>
          <w:tcPr>
            <w:tcW w:w="2365" w:type="dxa"/>
          </w:tcPr>
          <w:p w14:paraId="4CF1F196"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Guztira</w:t>
            </w:r>
          </w:p>
        </w:tc>
        <w:tc>
          <w:tcPr>
            <w:tcW w:w="1607" w:type="dxa"/>
          </w:tcPr>
          <w:p w14:paraId="78CDDC88"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1331</w:t>
            </w:r>
          </w:p>
        </w:tc>
        <w:tc>
          <w:tcPr>
            <w:tcW w:w="2056" w:type="dxa"/>
          </w:tcPr>
          <w:p w14:paraId="0C9253D5"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34451395,81</w:t>
            </w:r>
          </w:p>
        </w:tc>
        <w:tc>
          <w:tcPr>
            <w:tcW w:w="1972" w:type="dxa"/>
          </w:tcPr>
          <w:p w14:paraId="64A6C0C2"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25883,84</w:t>
            </w:r>
          </w:p>
        </w:tc>
      </w:tr>
    </w:tbl>
    <w:p w14:paraId="6221AAA4" w14:textId="77777777" w:rsidR="00D542C4" w:rsidRDefault="00D542C4" w:rsidP="005A0B88">
      <w:pPr>
        <w:autoSpaceDE w:val="0"/>
        <w:autoSpaceDN w:val="0"/>
        <w:adjustRightInd w:val="0"/>
        <w:spacing w:before="240" w:after="240" w:line="360" w:lineRule="auto"/>
        <w:ind w:left="720" w:hanging="12"/>
        <w:jc w:val="both"/>
        <w:rPr>
          <w:rFonts w:ascii="Arial" w:hAnsi="Arial" w:cs="Arial"/>
          <w:lang w:eastAsia="en-US"/>
        </w:rPr>
      </w:pPr>
    </w:p>
    <w:p w14:paraId="54409E45" w14:textId="77777777" w:rsidR="003E79B0" w:rsidRDefault="003E79B0" w:rsidP="005A0B88">
      <w:pPr>
        <w:autoSpaceDE w:val="0"/>
        <w:autoSpaceDN w:val="0"/>
        <w:adjustRightInd w:val="0"/>
        <w:spacing w:before="240" w:after="240" w:line="360" w:lineRule="auto"/>
        <w:ind w:left="720" w:hanging="12"/>
        <w:jc w:val="both"/>
        <w:rPr>
          <w:rFonts w:ascii="Arial" w:hAnsi="Arial" w:cs="Arial"/>
          <w:lang w:eastAsia="en-US"/>
        </w:rPr>
      </w:pPr>
    </w:p>
    <w:p w14:paraId="4E049901" w14:textId="77777777" w:rsidR="005A0B88" w:rsidRPr="008C7FB0" w:rsidRDefault="005A0B88" w:rsidP="003E79B0">
      <w:pPr>
        <w:autoSpaceDE w:val="0"/>
        <w:autoSpaceDN w:val="0"/>
        <w:adjustRightInd w:val="0"/>
        <w:spacing w:before="240" w:after="240" w:line="360" w:lineRule="auto"/>
        <w:ind w:left="720" w:hanging="12"/>
        <w:jc w:val="both"/>
        <w:rPr>
          <w:sz w:val="22"/>
          <w:szCs w:val="22"/>
          <w:rFonts w:ascii="Arial" w:hAnsi="Arial" w:cs="Arial"/>
        </w:rPr>
      </w:pPr>
      <w:r>
        <w:rPr>
          <w:sz w:val="22"/>
          <w:rFonts w:ascii="Arial" w:hAnsi="Arial"/>
        </w:rPr>
        <w:t xml:space="preserve">*Ez daude sartuta BEZa hilero tributatzen duten eta BEZa hilero beren alde itzultzeko eskubidea duten zergadunak (6 milioi eurotik gorako eragiketa bolumena duten zergadunak dira, edo BEZa hilero itzultzeko araubide berezian altan eman direnak eta BIH aurkezten dutenak).</w:t>
      </w:r>
    </w:p>
    <w:p w14:paraId="216E9056" w14:textId="77777777" w:rsidR="005A0B88" w:rsidRPr="003E79B0" w:rsidRDefault="005A0B88" w:rsidP="005A0B88">
      <w:pPr>
        <w:autoSpaceDE w:val="0"/>
        <w:autoSpaceDN w:val="0"/>
        <w:adjustRightInd w:val="0"/>
        <w:spacing w:before="240" w:after="240" w:line="360" w:lineRule="auto"/>
        <w:jc w:val="both"/>
        <w:rPr>
          <w:rFonts w:ascii="Arial" w:eastAsiaTheme="minorHAnsi" w:hAnsi="Arial" w:cs="Arial"/>
        </w:rPr>
      </w:pPr>
      <w:r>
        <w:rPr>
          <w:rFonts w:ascii="Arial" w:hAnsi="Arial"/>
        </w:rPr>
        <w:t xml:space="preserve">Datu horiekin lotuta, ondoko inguruabarrak hartu behar dira kontuan:</w:t>
      </w:r>
    </w:p>
    <w:p w14:paraId="29A3E5F8" w14:textId="77777777" w:rsidR="005A0B88" w:rsidRPr="003E79B0" w:rsidRDefault="005A0B88" w:rsidP="005A0B88">
      <w:pPr>
        <w:autoSpaceDE w:val="0"/>
        <w:autoSpaceDN w:val="0"/>
        <w:adjustRightInd w:val="0"/>
        <w:spacing w:before="240" w:after="240" w:line="360" w:lineRule="auto"/>
        <w:jc w:val="both"/>
        <w:rPr>
          <w:rFonts w:ascii="Arial" w:eastAsiaTheme="minorHAnsi" w:hAnsi="Arial" w:cs="Arial"/>
        </w:rPr>
      </w:pPr>
      <w:r>
        <w:rPr>
          <w:rFonts w:ascii="Arial" w:hAnsi="Arial"/>
        </w:rPr>
        <w:t xml:space="preserve">Konplexua da nekazaritzako nahiz abeltzaintzako jarduerak egiten dituzten zergadunak identifikatzea zenbait arrazoirengatik:</w:t>
      </w:r>
    </w:p>
    <w:p w14:paraId="0FBA33D0" w14:textId="77777777" w:rsidR="005A0B88" w:rsidRPr="003E79B0" w:rsidRDefault="005A0B88" w:rsidP="005A0B88">
      <w:pPr>
        <w:autoSpaceDE w:val="0"/>
        <w:autoSpaceDN w:val="0"/>
        <w:adjustRightInd w:val="0"/>
        <w:spacing w:before="240" w:after="240" w:line="360" w:lineRule="auto"/>
        <w:jc w:val="both"/>
        <w:rPr>
          <w:rFonts w:ascii="Arial" w:eastAsiaTheme="minorHAnsi" w:hAnsi="Arial" w:cs="Arial"/>
        </w:rPr>
      </w:pPr>
      <w:r>
        <w:rPr>
          <w:rFonts w:ascii="Arial" w:hAnsi="Arial"/>
        </w:rPr>
        <w:t xml:space="preserve">Lehenik eta behin, askotariko ezaugarriak dituen sektorea da, eta zergadun batzuk pertsona fisikoak dira, baina beste batzuek askotariko forma juridikoen bidez gauzatzen dute jarduera, hala nola sozietate anonimoak, erantzukizun mugatuko sozietateak, kooperatibak, eraldaketarako nekazaritza-sozietateak, nekazaritzako sozietate zibilak, sozietate irregularrak, fundazioak, udalak eta abar.</w:t>
      </w:r>
    </w:p>
    <w:p w14:paraId="4557D093" w14:textId="77777777" w:rsidR="00D542C4" w:rsidRDefault="005A0B88" w:rsidP="005A0B88">
      <w:pPr>
        <w:autoSpaceDE w:val="0"/>
        <w:autoSpaceDN w:val="0"/>
        <w:adjustRightInd w:val="0"/>
        <w:spacing w:before="240" w:after="240" w:line="360" w:lineRule="auto"/>
        <w:jc w:val="both"/>
        <w:rPr>
          <w:rFonts w:ascii="Arial" w:eastAsiaTheme="minorHAnsi" w:hAnsi="Arial" w:cs="Arial"/>
        </w:rPr>
      </w:pPr>
      <w:r>
        <w:rPr>
          <w:rFonts w:ascii="Arial" w:hAnsi="Arial"/>
        </w:rPr>
        <w:t xml:space="preserve">Bigarrenik, nekazaritzako eta abeltzaintzako jarduera zenbait modutan eta hainbat posiziotan egin daiteke elikadura katearen barnean, eta zaila da zehaztea lehen sektoreko zergadun guztiak barnean hartu nahi diren eta horren barruan nekazaritzako elikagaien industria osoa sartzen den edo zati bat soilik.</w:t>
      </w:r>
      <w:r>
        <w:rPr>
          <w:rFonts w:ascii="Arial" w:hAnsi="Arial"/>
        </w:rPr>
        <w:t xml:space="preserve"> </w:t>
      </w:r>
      <w:r>
        <w:rPr>
          <w:rFonts w:ascii="Arial" w:hAnsi="Arial"/>
        </w:rPr>
        <w:t xml:space="preserve">Kontuan hartu behar da, halaber, lehen sektore horren barruan zenbait tamainatako zergadunak daudela, nola nekazaritzako nahiz abeltzaintzako jarduera txiki bat egiten duten eta hori diru-sarrera nagusitzat ez duten pertsona fisikoak hala ogibide nagusia nekazaritza duten pertsona fisikoak, sektoreko hainbat ETE eta kooperatiba txiki eta nekazaritzako kooperatiba handiak eta enpresak ere bai.</w:t>
      </w:r>
    </w:p>
    <w:p w14:paraId="54E96E65" w14:textId="77777777" w:rsidR="00D542C4" w:rsidRDefault="00D542C4" w:rsidP="005A0B88">
      <w:pPr>
        <w:autoSpaceDE w:val="0"/>
        <w:autoSpaceDN w:val="0"/>
        <w:adjustRightInd w:val="0"/>
        <w:spacing w:before="240" w:after="240" w:line="360" w:lineRule="auto"/>
        <w:jc w:val="both"/>
        <w:rPr>
          <w:rFonts w:ascii="Arial" w:eastAsiaTheme="minorHAnsi" w:hAnsi="Arial" w:cs="Arial"/>
          <w:lang w:eastAsia="en-US"/>
        </w:rPr>
      </w:pPr>
    </w:p>
    <w:p w14:paraId="1A3CEE1D" w14:textId="77777777" w:rsidR="00D542C4" w:rsidRDefault="00D542C4" w:rsidP="005A0B88">
      <w:pPr>
        <w:autoSpaceDE w:val="0"/>
        <w:autoSpaceDN w:val="0"/>
        <w:adjustRightInd w:val="0"/>
        <w:spacing w:before="240" w:after="240" w:line="360" w:lineRule="auto"/>
        <w:jc w:val="both"/>
        <w:rPr>
          <w:rFonts w:ascii="Arial" w:eastAsiaTheme="minorHAnsi" w:hAnsi="Arial" w:cs="Arial"/>
          <w:lang w:eastAsia="en-US"/>
        </w:rPr>
      </w:pPr>
    </w:p>
    <w:p w14:paraId="0065B2DA" w14:textId="77777777" w:rsidR="005A0B88" w:rsidRPr="003E79B0" w:rsidRDefault="005A0B88" w:rsidP="005A0B88">
      <w:pPr>
        <w:autoSpaceDE w:val="0"/>
        <w:autoSpaceDN w:val="0"/>
        <w:adjustRightInd w:val="0"/>
        <w:spacing w:before="240" w:after="240" w:line="360" w:lineRule="auto"/>
        <w:jc w:val="both"/>
        <w:rPr>
          <w:rFonts w:ascii="Arial" w:eastAsiaTheme="minorHAnsi" w:hAnsi="Arial" w:cs="Arial"/>
        </w:rPr>
      </w:pPr>
      <w:r>
        <w:rPr>
          <w:rFonts w:ascii="Arial" w:hAnsi="Arial"/>
        </w:rPr>
        <w:t xml:space="preserve">Horrez gainera, jarduera hori egiten duten zergadunen kopurua zehazteko beste zailtasun bat ere badago: ez dago legezko errolda fiskalik zeinean nekazariak eta abeltzainak altan eman behar diren.</w:t>
      </w:r>
      <w:r>
        <w:rPr>
          <w:rFonts w:ascii="Arial" w:hAnsi="Arial"/>
        </w:rPr>
        <w:t xml:space="preserve"> </w:t>
      </w:r>
      <w:r>
        <w:rPr>
          <w:rFonts w:ascii="Arial" w:hAnsi="Arial"/>
        </w:rPr>
        <w:t xml:space="preserve">Beraz, oro har, nekazariak eta abeltzainak ez dira altan eman behar jarduera ekonomikoen gaineko zergan, kasu batzuetan izan ezik.</w:t>
      </w:r>
    </w:p>
    <w:p w14:paraId="588B0F57" w14:textId="77777777" w:rsidR="005A0B88" w:rsidRPr="003E79B0" w:rsidRDefault="005A0B88" w:rsidP="005A0B88">
      <w:pPr>
        <w:autoSpaceDE w:val="0"/>
        <w:autoSpaceDN w:val="0"/>
        <w:adjustRightInd w:val="0"/>
        <w:spacing w:before="240" w:after="240" w:line="360" w:lineRule="auto"/>
        <w:jc w:val="both"/>
        <w:rPr>
          <w:rFonts w:ascii="Arial" w:eastAsiaTheme="minorHAnsi" w:hAnsi="Arial" w:cs="Arial"/>
        </w:rPr>
      </w:pPr>
      <w:r>
        <w:rPr>
          <w:rFonts w:ascii="Arial" w:hAnsi="Arial"/>
        </w:rPr>
        <w:t xml:space="preserve">Azkenik, kontuan hartu behar da zergadun batzuek BEZa nekazaritzako eta abeltzaintzako araubide bereziaren bidez tributatzen dutela (ez dute BEZaren aldizkako aitorpenik aurkeztu behar eta ez dute beraiei itzuli beharreko BEZaren saldorik sortzen) eta beste batzuek, berriz, BEZaren araubide orokorrean tributatzen dutela, eta hiruhilekoz hiruhileko egiten ahal dutela (kasu horretan eskubidea dute sortzen ahal duten BEZaren urteko itzulketa beraien alde jasotzeko) edo hilez hil (kasu horretan eskubidea izaten ahal dute BEZa hilero itzul dakien).</w:t>
      </w:r>
    </w:p>
    <w:p w14:paraId="69D854A5" w14:textId="77777777" w:rsidR="005A0B88" w:rsidRPr="003E79B0" w:rsidRDefault="005A0B88" w:rsidP="005A0B88">
      <w:pPr>
        <w:autoSpaceDE w:val="0"/>
        <w:autoSpaceDN w:val="0"/>
        <w:adjustRightInd w:val="0"/>
        <w:spacing w:before="240" w:after="240" w:line="360" w:lineRule="auto"/>
        <w:jc w:val="both"/>
        <w:rPr>
          <w:rFonts w:ascii="Arial" w:eastAsiaTheme="minorHAnsi" w:hAnsi="Arial" w:cs="Arial"/>
        </w:rPr>
      </w:pPr>
      <w:r>
        <w:rPr>
          <w:rFonts w:ascii="Arial" w:hAnsi="Arial"/>
        </w:rPr>
        <w:t xml:space="preserve">Horregatik guztiagatik, Nafarroako Foru Ogasunak, nekazaritzako nahiz abeltzaintzako jarduera bat egiten duten zergadunak identifikatzeko eta 2023ko BEZaren itzulketak arintzeko, arau malguak eta zabalak aplikatu ditu zehazteko, kontuan izanda betekizun hauetakoren bat beretzen duten guztiak:</w:t>
      </w:r>
    </w:p>
    <w:p w14:paraId="2B343694" w14:textId="77777777" w:rsidR="005A0B88" w:rsidRPr="003E79B0" w:rsidRDefault="005A0B88" w:rsidP="005A0B88">
      <w:pPr>
        <w:autoSpaceDE w:val="0"/>
        <w:autoSpaceDN w:val="0"/>
        <w:adjustRightInd w:val="0"/>
        <w:spacing w:before="240" w:after="240" w:line="360" w:lineRule="auto"/>
        <w:ind w:firstLine="709"/>
        <w:jc w:val="both"/>
        <w:rPr>
          <w:rFonts w:ascii="Arial" w:eastAsiaTheme="minorHAnsi" w:hAnsi="Arial" w:cs="Arial"/>
        </w:rPr>
      </w:pPr>
      <w:r>
        <w:rPr>
          <w:rFonts w:ascii="Arial" w:hAnsi="Arial"/>
        </w:rPr>
        <w:t xml:space="preserve">- Altan emanda egotea sektorearen epigraferen batean edo aitortu izana nekazaritzako nahiz abeltzaintzako jarduera bat egiten duela F65 eredu informatiboan.</w:t>
      </w:r>
    </w:p>
    <w:p w14:paraId="0D1E902E" w14:textId="77777777" w:rsidR="005A0B88" w:rsidRPr="003E79B0" w:rsidRDefault="005A0B88" w:rsidP="005A0B88">
      <w:pPr>
        <w:autoSpaceDE w:val="0"/>
        <w:autoSpaceDN w:val="0"/>
        <w:adjustRightInd w:val="0"/>
        <w:spacing w:before="240" w:after="240" w:line="360" w:lineRule="auto"/>
        <w:ind w:firstLine="709"/>
        <w:jc w:val="both"/>
        <w:rPr>
          <w:rFonts w:ascii="Arial" w:eastAsiaTheme="minorHAnsi" w:hAnsi="Arial" w:cs="Arial"/>
        </w:rPr>
      </w:pPr>
      <w:r>
        <w:rPr>
          <w:rFonts w:ascii="Arial" w:hAnsi="Arial"/>
        </w:rPr>
        <w:t xml:space="preserve">- Hidrokarburoen gaineko zerga berezian nekazaritzako gasolioa itzultzeko eskatu izana.</w:t>
      </w:r>
    </w:p>
    <w:p w14:paraId="688DE1F7" w14:textId="77777777" w:rsidR="005A0B88" w:rsidRPr="003E79B0" w:rsidRDefault="005A0B88" w:rsidP="005A0B88">
      <w:pPr>
        <w:autoSpaceDE w:val="0"/>
        <w:autoSpaceDN w:val="0"/>
        <w:adjustRightInd w:val="0"/>
        <w:spacing w:before="240" w:after="240" w:line="360" w:lineRule="auto"/>
        <w:ind w:firstLine="709"/>
        <w:jc w:val="both"/>
        <w:rPr>
          <w:rFonts w:ascii="Arial" w:eastAsiaTheme="minorHAnsi" w:hAnsi="Arial" w:cs="Arial"/>
        </w:rPr>
      </w:pPr>
      <w:r>
        <w:rPr>
          <w:rFonts w:ascii="Arial" w:hAnsi="Arial"/>
        </w:rPr>
        <w:t xml:space="preserve">- Lehentasunezko Nekazaritza Ustiapenaren kalifikazioa izatea.</w:t>
      </w:r>
      <w:r>
        <w:rPr>
          <w:rFonts w:ascii="Arial" w:hAnsi="Arial"/>
        </w:rPr>
        <w:t xml:space="preserve"> </w:t>
      </w:r>
    </w:p>
    <w:p w14:paraId="1FFAFA1C" w14:textId="77777777" w:rsidR="00D542C4" w:rsidRDefault="005A0B88" w:rsidP="005A0B88">
      <w:pPr>
        <w:autoSpaceDE w:val="0"/>
        <w:autoSpaceDN w:val="0"/>
        <w:adjustRightInd w:val="0"/>
        <w:spacing w:before="240" w:after="240" w:line="360" w:lineRule="auto"/>
        <w:ind w:firstLine="709"/>
        <w:jc w:val="both"/>
        <w:rPr>
          <w:rFonts w:ascii="Arial" w:eastAsiaTheme="minorHAnsi" w:hAnsi="Arial" w:cs="Arial"/>
        </w:rPr>
      </w:pPr>
      <w:r>
        <w:rPr>
          <w:rFonts w:ascii="Arial" w:hAnsi="Arial"/>
        </w:rPr>
        <w:t xml:space="preserve">- Pertsona fisikoa izatea eta 2022ko PFEZean nekazaritzako nahiz abeltzaintzako jardueraren errentak lortu izana.</w:t>
      </w:r>
    </w:p>
    <w:p w14:paraId="7A59BC4A" w14:textId="77777777" w:rsidR="00D542C4" w:rsidRDefault="00D542C4" w:rsidP="005A0B88">
      <w:pPr>
        <w:autoSpaceDE w:val="0"/>
        <w:autoSpaceDN w:val="0"/>
        <w:adjustRightInd w:val="0"/>
        <w:spacing w:before="240" w:after="240" w:line="360" w:lineRule="auto"/>
        <w:ind w:firstLine="709"/>
        <w:jc w:val="both"/>
        <w:rPr>
          <w:rFonts w:ascii="Arial" w:eastAsiaTheme="minorHAnsi" w:hAnsi="Arial" w:cs="Arial"/>
          <w:lang w:eastAsia="en-US"/>
        </w:rPr>
      </w:pPr>
    </w:p>
    <w:p w14:paraId="66B77835" w14:textId="77777777" w:rsidR="008C7FB0" w:rsidRDefault="008C7FB0" w:rsidP="005A0B88">
      <w:pPr>
        <w:autoSpaceDE w:val="0"/>
        <w:autoSpaceDN w:val="0"/>
        <w:adjustRightInd w:val="0"/>
        <w:spacing w:before="240" w:after="240" w:line="360" w:lineRule="auto"/>
        <w:jc w:val="both"/>
        <w:rPr>
          <w:rFonts w:ascii="Arial" w:hAnsi="Arial" w:cs="Arial"/>
          <w:b/>
          <w:lang w:eastAsia="en-US"/>
        </w:rPr>
      </w:pPr>
    </w:p>
    <w:p w14:paraId="278B681D" w14:textId="77777777" w:rsidR="005A0B88" w:rsidRPr="003E79B0" w:rsidRDefault="004B2BFE" w:rsidP="005A0B88">
      <w:pPr>
        <w:autoSpaceDE w:val="0"/>
        <w:autoSpaceDN w:val="0"/>
        <w:adjustRightInd w:val="0"/>
        <w:spacing w:before="240" w:after="240" w:line="360" w:lineRule="auto"/>
        <w:jc w:val="both"/>
        <w:rPr>
          <w:b/>
          <w:rFonts w:ascii="Arial" w:hAnsi="Arial" w:cs="Arial"/>
        </w:rPr>
      </w:pPr>
      <w:r>
        <w:rPr>
          <w:b/>
          <w:rFonts w:ascii="Arial" w:hAnsi="Arial"/>
        </w:rPr>
        <w:t xml:space="preserve">4.- Nekazaritzako gasolioaren itzulketak 2023an</w:t>
      </w:r>
    </w:p>
    <w:tbl>
      <w:tblPr>
        <w:tblW w:w="4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0"/>
        <w:gridCol w:w="1425"/>
      </w:tblGrid>
      <w:tr w:rsidR="005A0B88" w:rsidRPr="003E79B0" w14:paraId="2B11E8A8" w14:textId="77777777" w:rsidTr="00D30065">
        <w:trPr>
          <w:trHeight w:val="288"/>
        </w:trPr>
        <w:tc>
          <w:tcPr>
            <w:tcW w:w="3060" w:type="dxa"/>
            <w:shd w:val="clear" w:color="auto" w:fill="auto"/>
            <w:noWrap/>
            <w:vAlign w:val="bottom"/>
            <w:hideMark/>
          </w:tcPr>
          <w:p w14:paraId="2A25F8BA"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Nekazaritzako gasolioaren itzulketa kopurua</w:t>
            </w:r>
          </w:p>
        </w:tc>
        <w:tc>
          <w:tcPr>
            <w:tcW w:w="1240" w:type="dxa"/>
            <w:shd w:val="clear" w:color="auto" w:fill="auto"/>
            <w:noWrap/>
            <w:vAlign w:val="bottom"/>
            <w:hideMark/>
          </w:tcPr>
          <w:p w14:paraId="0DC3C965"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2.557</w:t>
            </w:r>
          </w:p>
        </w:tc>
      </w:tr>
      <w:tr w:rsidR="005A0B88" w:rsidRPr="003E79B0" w14:paraId="1AD97FF1" w14:textId="77777777" w:rsidTr="00D30065">
        <w:trPr>
          <w:trHeight w:val="288"/>
        </w:trPr>
        <w:tc>
          <w:tcPr>
            <w:tcW w:w="3060" w:type="dxa"/>
            <w:shd w:val="clear" w:color="auto" w:fill="auto"/>
            <w:noWrap/>
            <w:vAlign w:val="bottom"/>
            <w:hideMark/>
          </w:tcPr>
          <w:p w14:paraId="69173B03"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Itzulketen zenbatekoa (eurotan)</w:t>
            </w:r>
          </w:p>
        </w:tc>
        <w:tc>
          <w:tcPr>
            <w:tcW w:w="1240" w:type="dxa"/>
            <w:shd w:val="clear" w:color="auto" w:fill="auto"/>
            <w:noWrap/>
            <w:vAlign w:val="bottom"/>
            <w:hideMark/>
          </w:tcPr>
          <w:p w14:paraId="3B3FD4F5"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1.909.234,43</w:t>
            </w:r>
          </w:p>
        </w:tc>
      </w:tr>
    </w:tbl>
    <w:p w14:paraId="250DF839" w14:textId="77777777" w:rsidR="005A0B88" w:rsidRPr="008C7FB0" w:rsidRDefault="005A0B88" w:rsidP="005A0B88">
      <w:pPr>
        <w:spacing w:before="240" w:after="240" w:line="360" w:lineRule="auto"/>
        <w:jc w:val="both"/>
        <w:rPr>
          <w:sz w:val="22"/>
          <w:szCs w:val="22"/>
          <w:rFonts w:ascii="Arial" w:hAnsi="Arial" w:cs="Arial"/>
        </w:rPr>
      </w:pPr>
      <w:r>
        <w:rPr>
          <w:sz w:val="22"/>
          <w:rFonts w:ascii="Arial" w:hAnsi="Arial"/>
        </w:rPr>
        <w:t xml:space="preserve">Datuek pertsona fisikoak eta pertsona juridikoak hartzen dituzten barne.</w:t>
      </w:r>
    </w:p>
    <w:p w14:paraId="23F87AF9" w14:textId="77777777" w:rsidR="005A0B88" w:rsidRPr="003E79B0" w:rsidRDefault="004B2BFE" w:rsidP="005A0B88">
      <w:pPr>
        <w:spacing w:before="240" w:after="240" w:line="360" w:lineRule="auto"/>
        <w:jc w:val="both"/>
        <w:rPr>
          <w:b/>
          <w:rFonts w:ascii="Arial" w:hAnsi="Arial" w:cs="Arial"/>
        </w:rPr>
      </w:pPr>
      <w:r>
        <w:rPr>
          <w:b/>
          <w:rFonts w:ascii="Arial" w:hAnsi="Arial"/>
        </w:rPr>
        <w:t xml:space="preserve">5.- Nafarroako nekazari eta abeltzainek 2022an jasotako dirulaguntzak</w:t>
      </w:r>
      <w:r>
        <w:rPr>
          <w:b/>
          <w:rFonts w:ascii="Arial" w:hAnsi="Arial"/>
        </w:rPr>
        <w:t xml:space="preserve"> </w:t>
      </w:r>
      <w:r>
        <w:rPr>
          <w:b/>
          <w:rFonts w:ascii="Arial" w:hAnsi="Arial"/>
        </w:rPr>
        <w:t xml:space="preserve">Dirulaguntza exentuak eta ez exentuak.</w:t>
      </w:r>
    </w:p>
    <w:p w14:paraId="0E927B40" w14:textId="77777777" w:rsidR="005A0B88" w:rsidRPr="003E79B0" w:rsidRDefault="005A0B88" w:rsidP="005A0B88">
      <w:pPr>
        <w:spacing w:before="240" w:after="240" w:line="360" w:lineRule="auto"/>
        <w:jc w:val="both"/>
        <w:rPr>
          <w:rFonts w:ascii="Arial" w:hAnsi="Arial" w:cs="Arial"/>
        </w:rPr>
      </w:pPr>
      <w:r>
        <w:rPr>
          <w:rFonts w:ascii="Arial" w:hAnsi="Arial"/>
        </w:rPr>
        <w:t xml:space="preserve">Datuak 2022ko PFEZaren aitorpenetatik lortzen dira; beraz, ez dira sartzen pertsona juridikoek jasotako dirulaguntzak.</w:t>
      </w:r>
      <w:r>
        <w:rPr>
          <w:rFonts w:ascii="Arial" w:hAnsi="Arial"/>
        </w:rPr>
        <w:t xml:space="preserve"> </w:t>
      </w:r>
      <w:r>
        <w:rPr>
          <w:rFonts w:ascii="Arial" w:hAnsi="Arial"/>
        </w:rPr>
        <w:t xml:space="preserve">Autolikidazioetan ez dira bereizten NPEko dirulaguntzak (NBEUF), LGENFko dirulaguntzak edo nekazari eta abeltzainek jasotako beste dirulaguntza batzuk; beraz, dirulaguntza exentuen zenbatekoaren eta dirulaguntza ez exentuen zenbatekoaren berri ematen da, jatorria edozein dela ere.</w:t>
      </w:r>
      <w:r>
        <w:rPr>
          <w:rFonts w:ascii="Arial" w:hAnsi="Arial"/>
        </w:rPr>
        <w:t xml:space="preserve"> </w:t>
      </w:r>
    </w:p>
    <w:tbl>
      <w:tblPr>
        <w:tblW w:w="8726" w:type="dxa"/>
        <w:tblInd w:w="75" w:type="dxa"/>
        <w:tblCellMar>
          <w:left w:w="70" w:type="dxa"/>
          <w:right w:w="70" w:type="dxa"/>
        </w:tblCellMar>
        <w:tblLook w:val="04A0" w:firstRow="1" w:lastRow="0" w:firstColumn="1" w:lastColumn="0" w:noHBand="0" w:noVBand="1"/>
      </w:tblPr>
      <w:tblGrid>
        <w:gridCol w:w="1217"/>
        <w:gridCol w:w="1547"/>
        <w:gridCol w:w="1302"/>
        <w:gridCol w:w="1564"/>
        <w:gridCol w:w="1302"/>
        <w:gridCol w:w="1994"/>
      </w:tblGrid>
      <w:tr w:rsidR="005A0B88" w:rsidRPr="003E79B0" w14:paraId="40512EAD" w14:textId="77777777" w:rsidTr="00D30065">
        <w:trPr>
          <w:trHeight w:val="529"/>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0318"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 </w:t>
            </w:r>
            <w:r>
              <w:rPr>
                <w:color w:val="000000"/>
                <w:sz w:val="22"/>
                <w:rFonts w:ascii="Arial" w:hAnsi="Arial"/>
              </w:rPr>
              <w:t xml:space="preserve">Tributazio modalitatea.</w:t>
            </w:r>
          </w:p>
        </w:tc>
        <w:tc>
          <w:tcPr>
            <w:tcW w:w="27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767614" w14:textId="77777777" w:rsidR="005A0B88" w:rsidRPr="003E79B0" w:rsidRDefault="005A0B88" w:rsidP="005A0B88">
            <w:pPr>
              <w:jc w:val="center"/>
              <w:rPr>
                <w:color w:val="000000"/>
                <w:sz w:val="22"/>
                <w:szCs w:val="22"/>
                <w:rFonts w:ascii="Arial" w:hAnsi="Arial" w:cs="Arial"/>
              </w:rPr>
            </w:pPr>
            <w:r>
              <w:rPr>
                <w:color w:val="000000"/>
                <w:sz w:val="22"/>
                <w:rFonts w:ascii="Arial" w:hAnsi="Arial"/>
              </w:rPr>
              <w:t xml:space="preserve">Dirulaguntza ez exentuak</w:t>
            </w:r>
          </w:p>
        </w:tc>
        <w:tc>
          <w:tcPr>
            <w:tcW w:w="28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9CA63E" w14:textId="77777777" w:rsidR="005A0B88" w:rsidRPr="003E79B0" w:rsidRDefault="005A0B88" w:rsidP="005A0B88">
            <w:pPr>
              <w:jc w:val="center"/>
              <w:rPr>
                <w:color w:val="000000"/>
                <w:sz w:val="22"/>
                <w:szCs w:val="22"/>
                <w:rFonts w:ascii="Arial" w:hAnsi="Arial" w:cs="Arial"/>
              </w:rPr>
            </w:pPr>
            <w:r>
              <w:rPr>
                <w:color w:val="000000"/>
                <w:sz w:val="22"/>
                <w:rFonts w:ascii="Arial" w:hAnsi="Arial"/>
              </w:rPr>
              <w:t xml:space="preserve">Dirulaguntza exentuak</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14:paraId="68A29594"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Dirulaguntzak guztira</w:t>
            </w:r>
          </w:p>
        </w:tc>
      </w:tr>
      <w:tr w:rsidR="005A0B88" w:rsidRPr="003E79B0" w14:paraId="0FE25E19" w14:textId="77777777" w:rsidTr="00D30065">
        <w:trPr>
          <w:trHeight w:val="284"/>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05786982" w14:textId="77777777" w:rsidR="005A0B88" w:rsidRPr="003E79B0" w:rsidRDefault="005A0B88" w:rsidP="005A0B88">
            <w:pPr>
              <w:rPr>
                <w:rFonts w:ascii="Arial" w:hAnsi="Arial" w:cs="Arial"/>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77745EB7"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Zenbatekoa (eurotan)</w:t>
            </w:r>
          </w:p>
        </w:tc>
        <w:tc>
          <w:tcPr>
            <w:tcW w:w="1254" w:type="dxa"/>
            <w:tcBorders>
              <w:top w:val="nil"/>
              <w:left w:val="nil"/>
              <w:bottom w:val="single" w:sz="4" w:space="0" w:color="auto"/>
              <w:right w:val="single" w:sz="4" w:space="0" w:color="auto"/>
            </w:tcBorders>
            <w:shd w:val="clear" w:color="auto" w:fill="auto"/>
            <w:noWrap/>
            <w:vAlign w:val="bottom"/>
            <w:hideMark/>
          </w:tcPr>
          <w:p w14:paraId="46627F0D"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Jasotzaileen kopurua</w:t>
            </w:r>
          </w:p>
        </w:tc>
        <w:tc>
          <w:tcPr>
            <w:tcW w:w="1564" w:type="dxa"/>
            <w:tcBorders>
              <w:top w:val="nil"/>
              <w:left w:val="nil"/>
              <w:bottom w:val="single" w:sz="4" w:space="0" w:color="auto"/>
              <w:right w:val="single" w:sz="4" w:space="0" w:color="auto"/>
            </w:tcBorders>
            <w:shd w:val="clear" w:color="auto" w:fill="auto"/>
            <w:noWrap/>
            <w:vAlign w:val="bottom"/>
            <w:hideMark/>
          </w:tcPr>
          <w:p w14:paraId="4BB0F734"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Zenbatekoa (eurotan)</w:t>
            </w:r>
            <w:r>
              <w:rPr>
                <w:color w:val="000000"/>
                <w:sz w:val="22"/>
                <w:rFonts w:ascii="Arial" w:hAnsi="Arial"/>
              </w:rPr>
              <w:t xml:space="preserve"> </w:t>
            </w:r>
          </w:p>
        </w:tc>
        <w:tc>
          <w:tcPr>
            <w:tcW w:w="1254" w:type="dxa"/>
            <w:tcBorders>
              <w:top w:val="nil"/>
              <w:left w:val="nil"/>
              <w:bottom w:val="single" w:sz="4" w:space="0" w:color="auto"/>
              <w:right w:val="single" w:sz="4" w:space="0" w:color="auto"/>
            </w:tcBorders>
            <w:shd w:val="clear" w:color="auto" w:fill="auto"/>
            <w:noWrap/>
            <w:vAlign w:val="bottom"/>
            <w:hideMark/>
          </w:tcPr>
          <w:p w14:paraId="5F086BCB"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Jasotzaileen kopurua</w:t>
            </w:r>
          </w:p>
        </w:tc>
        <w:tc>
          <w:tcPr>
            <w:tcW w:w="1994" w:type="dxa"/>
            <w:tcBorders>
              <w:top w:val="nil"/>
              <w:left w:val="nil"/>
              <w:bottom w:val="single" w:sz="4" w:space="0" w:color="auto"/>
              <w:right w:val="single" w:sz="4" w:space="0" w:color="auto"/>
            </w:tcBorders>
            <w:shd w:val="clear" w:color="auto" w:fill="auto"/>
            <w:noWrap/>
            <w:vAlign w:val="bottom"/>
            <w:hideMark/>
          </w:tcPr>
          <w:p w14:paraId="611C25C8"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Zenbatekoa (eurotan)</w:t>
            </w:r>
          </w:p>
        </w:tc>
      </w:tr>
      <w:tr w:rsidR="005A0B88" w:rsidRPr="003E79B0" w14:paraId="2790B387" w14:textId="77777777" w:rsidTr="00D30065">
        <w:trPr>
          <w:trHeight w:val="284"/>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A40A2E5"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EDN</w:t>
            </w:r>
          </w:p>
        </w:tc>
        <w:tc>
          <w:tcPr>
            <w:tcW w:w="1460" w:type="dxa"/>
            <w:tcBorders>
              <w:top w:val="nil"/>
              <w:left w:val="nil"/>
              <w:bottom w:val="single" w:sz="4" w:space="0" w:color="auto"/>
              <w:right w:val="single" w:sz="4" w:space="0" w:color="auto"/>
            </w:tcBorders>
            <w:shd w:val="clear" w:color="auto" w:fill="auto"/>
            <w:noWrap/>
            <w:vAlign w:val="bottom"/>
            <w:hideMark/>
          </w:tcPr>
          <w:p w14:paraId="1CB625C7"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4.138.795,55</w:t>
            </w:r>
          </w:p>
        </w:tc>
        <w:tc>
          <w:tcPr>
            <w:tcW w:w="1254" w:type="dxa"/>
            <w:tcBorders>
              <w:top w:val="nil"/>
              <w:left w:val="nil"/>
              <w:bottom w:val="single" w:sz="4" w:space="0" w:color="auto"/>
              <w:right w:val="single" w:sz="4" w:space="0" w:color="auto"/>
            </w:tcBorders>
            <w:shd w:val="clear" w:color="auto" w:fill="auto"/>
            <w:noWrap/>
            <w:vAlign w:val="bottom"/>
            <w:hideMark/>
          </w:tcPr>
          <w:p w14:paraId="12D3FD11"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228</w:t>
            </w:r>
          </w:p>
        </w:tc>
        <w:tc>
          <w:tcPr>
            <w:tcW w:w="1564" w:type="dxa"/>
            <w:tcBorders>
              <w:top w:val="nil"/>
              <w:left w:val="nil"/>
              <w:bottom w:val="single" w:sz="4" w:space="0" w:color="auto"/>
              <w:right w:val="single" w:sz="4" w:space="0" w:color="auto"/>
            </w:tcBorders>
            <w:shd w:val="clear" w:color="auto" w:fill="auto"/>
            <w:noWrap/>
            <w:vAlign w:val="bottom"/>
            <w:hideMark/>
          </w:tcPr>
          <w:p w14:paraId="69A02A5F"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950965,46</w:t>
            </w:r>
          </w:p>
        </w:tc>
        <w:tc>
          <w:tcPr>
            <w:tcW w:w="1254" w:type="dxa"/>
            <w:tcBorders>
              <w:top w:val="nil"/>
              <w:left w:val="nil"/>
              <w:bottom w:val="single" w:sz="4" w:space="0" w:color="auto"/>
              <w:right w:val="single" w:sz="4" w:space="0" w:color="auto"/>
            </w:tcBorders>
            <w:shd w:val="clear" w:color="auto" w:fill="auto"/>
            <w:noWrap/>
            <w:vAlign w:val="bottom"/>
            <w:hideMark/>
          </w:tcPr>
          <w:p w14:paraId="40867D5E"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87</w:t>
            </w:r>
          </w:p>
        </w:tc>
        <w:tc>
          <w:tcPr>
            <w:tcW w:w="1994" w:type="dxa"/>
            <w:tcBorders>
              <w:top w:val="nil"/>
              <w:left w:val="nil"/>
              <w:bottom w:val="single" w:sz="4" w:space="0" w:color="auto"/>
              <w:right w:val="single" w:sz="4" w:space="0" w:color="auto"/>
            </w:tcBorders>
            <w:shd w:val="clear" w:color="auto" w:fill="auto"/>
            <w:noWrap/>
            <w:vAlign w:val="bottom"/>
            <w:hideMark/>
          </w:tcPr>
          <w:p w14:paraId="0284467C"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5089761,01</w:t>
            </w:r>
          </w:p>
        </w:tc>
      </w:tr>
      <w:tr w:rsidR="005A0B88" w:rsidRPr="003E79B0" w14:paraId="125497B3" w14:textId="77777777" w:rsidTr="00D30065">
        <w:trPr>
          <w:trHeight w:val="284"/>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5440986"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EDS</w:t>
            </w:r>
          </w:p>
        </w:tc>
        <w:tc>
          <w:tcPr>
            <w:tcW w:w="1460" w:type="dxa"/>
            <w:tcBorders>
              <w:top w:val="nil"/>
              <w:left w:val="nil"/>
              <w:bottom w:val="single" w:sz="4" w:space="0" w:color="auto"/>
              <w:right w:val="single" w:sz="4" w:space="0" w:color="auto"/>
            </w:tcBorders>
            <w:shd w:val="clear" w:color="auto" w:fill="auto"/>
            <w:noWrap/>
            <w:vAlign w:val="bottom"/>
            <w:hideMark/>
          </w:tcPr>
          <w:p w14:paraId="4E2E5576"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30.551.148,06</w:t>
            </w:r>
          </w:p>
        </w:tc>
        <w:tc>
          <w:tcPr>
            <w:tcW w:w="1254" w:type="dxa"/>
            <w:tcBorders>
              <w:top w:val="nil"/>
              <w:left w:val="nil"/>
              <w:bottom w:val="single" w:sz="4" w:space="0" w:color="auto"/>
              <w:right w:val="single" w:sz="4" w:space="0" w:color="auto"/>
            </w:tcBorders>
            <w:shd w:val="clear" w:color="auto" w:fill="auto"/>
            <w:noWrap/>
            <w:vAlign w:val="bottom"/>
            <w:hideMark/>
          </w:tcPr>
          <w:p w14:paraId="62916C67"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2057</w:t>
            </w:r>
          </w:p>
        </w:tc>
        <w:tc>
          <w:tcPr>
            <w:tcW w:w="1564" w:type="dxa"/>
            <w:tcBorders>
              <w:top w:val="nil"/>
              <w:left w:val="nil"/>
              <w:bottom w:val="single" w:sz="4" w:space="0" w:color="auto"/>
              <w:right w:val="single" w:sz="4" w:space="0" w:color="auto"/>
            </w:tcBorders>
            <w:shd w:val="clear" w:color="auto" w:fill="auto"/>
            <w:noWrap/>
            <w:vAlign w:val="bottom"/>
            <w:hideMark/>
          </w:tcPr>
          <w:p w14:paraId="7FF891C4"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12352194,37</w:t>
            </w:r>
          </w:p>
        </w:tc>
        <w:tc>
          <w:tcPr>
            <w:tcW w:w="1254" w:type="dxa"/>
            <w:tcBorders>
              <w:top w:val="nil"/>
              <w:left w:val="nil"/>
              <w:bottom w:val="single" w:sz="4" w:space="0" w:color="auto"/>
              <w:right w:val="single" w:sz="4" w:space="0" w:color="auto"/>
            </w:tcBorders>
            <w:shd w:val="clear" w:color="auto" w:fill="auto"/>
            <w:noWrap/>
            <w:vAlign w:val="bottom"/>
            <w:hideMark/>
          </w:tcPr>
          <w:p w14:paraId="7DFD110C"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1056</w:t>
            </w:r>
          </w:p>
        </w:tc>
        <w:tc>
          <w:tcPr>
            <w:tcW w:w="1994" w:type="dxa"/>
            <w:tcBorders>
              <w:top w:val="nil"/>
              <w:left w:val="nil"/>
              <w:bottom w:val="single" w:sz="4" w:space="0" w:color="auto"/>
              <w:right w:val="single" w:sz="4" w:space="0" w:color="auto"/>
            </w:tcBorders>
            <w:shd w:val="clear" w:color="auto" w:fill="auto"/>
            <w:noWrap/>
            <w:vAlign w:val="bottom"/>
            <w:hideMark/>
          </w:tcPr>
          <w:p w14:paraId="7083FB82"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42903342,43</w:t>
            </w:r>
          </w:p>
        </w:tc>
      </w:tr>
      <w:tr w:rsidR="005A0B88" w:rsidRPr="003E79B0" w14:paraId="7E3FFBCE" w14:textId="77777777" w:rsidTr="00D30065">
        <w:trPr>
          <w:trHeight w:val="284"/>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24C700A"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EDE</w:t>
            </w:r>
          </w:p>
        </w:tc>
        <w:tc>
          <w:tcPr>
            <w:tcW w:w="1460" w:type="dxa"/>
            <w:tcBorders>
              <w:top w:val="nil"/>
              <w:left w:val="nil"/>
              <w:bottom w:val="single" w:sz="4" w:space="0" w:color="auto"/>
              <w:right w:val="single" w:sz="4" w:space="0" w:color="auto"/>
            </w:tcBorders>
            <w:shd w:val="clear" w:color="auto" w:fill="auto"/>
            <w:noWrap/>
            <w:vAlign w:val="bottom"/>
            <w:hideMark/>
          </w:tcPr>
          <w:p w14:paraId="59730A72"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49.081.188,29</w:t>
            </w:r>
          </w:p>
        </w:tc>
        <w:tc>
          <w:tcPr>
            <w:tcW w:w="1254" w:type="dxa"/>
            <w:tcBorders>
              <w:top w:val="nil"/>
              <w:left w:val="nil"/>
              <w:bottom w:val="single" w:sz="4" w:space="0" w:color="auto"/>
              <w:right w:val="single" w:sz="4" w:space="0" w:color="auto"/>
            </w:tcBorders>
            <w:shd w:val="clear" w:color="auto" w:fill="auto"/>
            <w:noWrap/>
            <w:vAlign w:val="bottom"/>
            <w:hideMark/>
          </w:tcPr>
          <w:p w14:paraId="2D6496F3"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9377</w:t>
            </w:r>
          </w:p>
        </w:tc>
        <w:tc>
          <w:tcPr>
            <w:tcW w:w="1564" w:type="dxa"/>
            <w:tcBorders>
              <w:top w:val="nil"/>
              <w:left w:val="nil"/>
              <w:bottom w:val="single" w:sz="4" w:space="0" w:color="auto"/>
              <w:right w:val="single" w:sz="4" w:space="0" w:color="auto"/>
            </w:tcBorders>
            <w:shd w:val="clear" w:color="auto" w:fill="auto"/>
            <w:noWrap/>
            <w:vAlign w:val="bottom"/>
            <w:hideMark/>
          </w:tcPr>
          <w:p w14:paraId="06FFB276"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16440889,14</w:t>
            </w:r>
          </w:p>
        </w:tc>
        <w:tc>
          <w:tcPr>
            <w:tcW w:w="1254" w:type="dxa"/>
            <w:tcBorders>
              <w:top w:val="nil"/>
              <w:left w:val="nil"/>
              <w:bottom w:val="single" w:sz="4" w:space="0" w:color="auto"/>
              <w:right w:val="single" w:sz="4" w:space="0" w:color="auto"/>
            </w:tcBorders>
            <w:shd w:val="clear" w:color="auto" w:fill="auto"/>
            <w:noWrap/>
            <w:vAlign w:val="bottom"/>
            <w:hideMark/>
          </w:tcPr>
          <w:p w14:paraId="1A6E059A"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3186</w:t>
            </w:r>
          </w:p>
        </w:tc>
        <w:tc>
          <w:tcPr>
            <w:tcW w:w="1994" w:type="dxa"/>
            <w:tcBorders>
              <w:top w:val="nil"/>
              <w:left w:val="nil"/>
              <w:bottom w:val="single" w:sz="4" w:space="0" w:color="auto"/>
              <w:right w:val="single" w:sz="4" w:space="0" w:color="auto"/>
            </w:tcBorders>
            <w:shd w:val="clear" w:color="auto" w:fill="auto"/>
            <w:noWrap/>
            <w:vAlign w:val="bottom"/>
            <w:hideMark/>
          </w:tcPr>
          <w:p w14:paraId="09D9A949"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65522077,43</w:t>
            </w:r>
          </w:p>
        </w:tc>
      </w:tr>
      <w:tr w:rsidR="005A0B88" w:rsidRPr="003E79B0" w14:paraId="27AAE9D3" w14:textId="77777777" w:rsidTr="00D30065">
        <w:trPr>
          <w:trHeight w:val="284"/>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7AC0711" w14:textId="77777777" w:rsidR="005A0B88" w:rsidRPr="003E79B0" w:rsidRDefault="005A0B88" w:rsidP="005A0B88">
            <w:pPr>
              <w:rPr>
                <w:color w:val="000000"/>
                <w:sz w:val="22"/>
                <w:szCs w:val="22"/>
                <w:rFonts w:ascii="Arial" w:hAnsi="Arial" w:cs="Arial"/>
              </w:rPr>
            </w:pPr>
            <w:r>
              <w:rPr>
                <w:color w:val="000000"/>
                <w:sz w:val="22"/>
                <w:rFonts w:ascii="Arial" w:hAnsi="Arial"/>
              </w:rPr>
              <w:t xml:space="preserve">Guztira</w:t>
            </w:r>
            <w:r>
              <w:rPr>
                <w:color w:val="000000"/>
                <w:sz w:val="22"/>
                <w:rFonts w:ascii="Arial" w:hAnsi="Arial"/>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14:paraId="1D98137C"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83771131,90</w:t>
            </w:r>
          </w:p>
        </w:tc>
        <w:tc>
          <w:tcPr>
            <w:tcW w:w="1254" w:type="dxa"/>
            <w:tcBorders>
              <w:top w:val="nil"/>
              <w:left w:val="nil"/>
              <w:bottom w:val="single" w:sz="4" w:space="0" w:color="auto"/>
              <w:right w:val="single" w:sz="4" w:space="0" w:color="auto"/>
            </w:tcBorders>
            <w:shd w:val="clear" w:color="auto" w:fill="auto"/>
            <w:noWrap/>
            <w:vAlign w:val="bottom"/>
            <w:hideMark/>
          </w:tcPr>
          <w:p w14:paraId="6E303CB5"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11662</w:t>
            </w:r>
          </w:p>
        </w:tc>
        <w:tc>
          <w:tcPr>
            <w:tcW w:w="1564" w:type="dxa"/>
            <w:tcBorders>
              <w:top w:val="nil"/>
              <w:left w:val="nil"/>
              <w:bottom w:val="single" w:sz="4" w:space="0" w:color="auto"/>
              <w:right w:val="single" w:sz="4" w:space="0" w:color="auto"/>
            </w:tcBorders>
            <w:shd w:val="clear" w:color="auto" w:fill="auto"/>
            <w:noWrap/>
            <w:vAlign w:val="bottom"/>
            <w:hideMark/>
          </w:tcPr>
          <w:p w14:paraId="4B95E297"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29744048,97</w:t>
            </w:r>
          </w:p>
        </w:tc>
        <w:tc>
          <w:tcPr>
            <w:tcW w:w="1254" w:type="dxa"/>
            <w:tcBorders>
              <w:top w:val="nil"/>
              <w:left w:val="nil"/>
              <w:bottom w:val="single" w:sz="4" w:space="0" w:color="auto"/>
              <w:right w:val="single" w:sz="4" w:space="0" w:color="auto"/>
            </w:tcBorders>
            <w:shd w:val="clear" w:color="auto" w:fill="auto"/>
            <w:noWrap/>
            <w:vAlign w:val="bottom"/>
            <w:hideMark/>
          </w:tcPr>
          <w:p w14:paraId="502297FE"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4329</w:t>
            </w:r>
          </w:p>
        </w:tc>
        <w:tc>
          <w:tcPr>
            <w:tcW w:w="1994" w:type="dxa"/>
            <w:tcBorders>
              <w:top w:val="nil"/>
              <w:left w:val="nil"/>
              <w:bottom w:val="single" w:sz="4" w:space="0" w:color="auto"/>
              <w:right w:val="single" w:sz="4" w:space="0" w:color="auto"/>
            </w:tcBorders>
            <w:shd w:val="clear" w:color="auto" w:fill="auto"/>
            <w:noWrap/>
            <w:vAlign w:val="bottom"/>
            <w:hideMark/>
          </w:tcPr>
          <w:p w14:paraId="5A2DBCA5" w14:textId="77777777" w:rsidR="005A0B88" w:rsidRPr="003E79B0" w:rsidRDefault="005A0B88" w:rsidP="005A0B88">
            <w:pPr>
              <w:jc w:val="right"/>
              <w:rPr>
                <w:color w:val="000000"/>
                <w:sz w:val="22"/>
                <w:szCs w:val="22"/>
                <w:rFonts w:ascii="Arial" w:hAnsi="Arial" w:cs="Arial"/>
              </w:rPr>
            </w:pPr>
            <w:r>
              <w:rPr>
                <w:color w:val="000000"/>
                <w:sz w:val="22"/>
                <w:rFonts w:ascii="Arial" w:hAnsi="Arial"/>
              </w:rPr>
              <w:t xml:space="preserve">113515180,87</w:t>
            </w:r>
          </w:p>
        </w:tc>
      </w:tr>
    </w:tbl>
    <w:p w14:paraId="5F9964F5" w14:textId="77777777" w:rsidR="00D542C4" w:rsidRDefault="00D542C4" w:rsidP="00AA021E">
      <w:pPr>
        <w:shd w:val="clear" w:color="auto" w:fill="FFFFFF"/>
        <w:tabs>
          <w:tab w:val="left" w:pos="766"/>
        </w:tabs>
        <w:spacing w:line="360" w:lineRule="auto"/>
        <w:jc w:val="both"/>
        <w:rPr>
          <w:rFonts w:ascii="Arial" w:hAnsi="Arial" w:cs="Arial"/>
          <w:color w:val="333333"/>
          <w:sz w:val="20"/>
          <w:szCs w:val="20"/>
        </w:rPr>
      </w:pPr>
    </w:p>
    <w:p w14:paraId="0888738C" w14:textId="05DD42C5" w:rsidR="003A1119" w:rsidRDefault="00864DCD" w:rsidP="003A1119">
      <w:pPr>
        <w:spacing w:line="360" w:lineRule="auto"/>
        <w:rPr>
          <w:rFonts w:ascii="Arial" w:hAnsi="Arial" w:cs="Arial"/>
        </w:rPr>
      </w:pPr>
      <w:r>
        <w:rPr>
          <w:rFonts w:ascii="Arial" w:hAnsi="Arial"/>
        </w:rPr>
        <w:t xml:space="preserve">Hori guztia jakinarazten dizut, Nafarroako Parlamentuko Erregelamenduaren 215. artikuluan xedatutakoa betez.</w:t>
      </w:r>
    </w:p>
    <w:p w14:paraId="1B7C363F" w14:textId="77777777" w:rsidR="003A1119" w:rsidRDefault="001C5BBC" w:rsidP="003A1119">
      <w:pPr>
        <w:spacing w:line="360" w:lineRule="auto"/>
        <w:rPr>
          <w:rFonts w:ascii="Arial" w:hAnsi="Arial" w:cs="Arial"/>
        </w:rPr>
      </w:pPr>
      <w:r>
        <w:rPr>
          <w:rFonts w:ascii="Arial" w:hAnsi="Arial"/>
        </w:rPr>
        <w:t xml:space="preserve">Iruñean, 2024ko apirilaren 11n</w:t>
      </w:r>
    </w:p>
    <w:p w14:paraId="16EA51A0" w14:textId="45CA4B74" w:rsidR="002F3FFC" w:rsidRPr="003E79B0" w:rsidRDefault="007631EC" w:rsidP="003A1119">
      <w:pPr>
        <w:spacing w:line="360" w:lineRule="auto"/>
        <w:rPr>
          <w:rFonts w:ascii="Arial" w:hAnsi="Arial" w:cs="Arial"/>
        </w:rPr>
      </w:pPr>
      <w:r>
        <w:rPr>
          <w:rFonts w:ascii="Arial" w:hAnsi="Arial"/>
        </w:rPr>
        <w:t xml:space="preserve">Ekonomia eta Ogasun kontseilaria:</w:t>
      </w:r>
      <w:r>
        <w:rPr>
          <w:rFonts w:ascii="Arial" w:hAnsi="Arial"/>
        </w:rPr>
        <w:t xml:space="preserve"> </w:t>
      </w:r>
      <w:r>
        <w:rPr>
          <w:rFonts w:ascii="Arial" w:hAnsi="Arial"/>
        </w:rPr>
        <w:t xml:space="preserve">José Luis Arasti Pérez</w:t>
      </w:r>
    </w:p>
    <w:sectPr w:rsidR="002F3FFC" w:rsidRPr="003E79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77F13" w14:textId="77777777" w:rsidR="003E79B0" w:rsidRDefault="003E79B0" w:rsidP="003E79B0">
      <w:r>
        <w:separator/>
      </w:r>
    </w:p>
  </w:endnote>
  <w:endnote w:type="continuationSeparator" w:id="0">
    <w:p w14:paraId="723F1344" w14:textId="77777777" w:rsidR="003E79B0" w:rsidRDefault="003E79B0" w:rsidP="003E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D59AF" w14:textId="77777777" w:rsidR="003E79B0" w:rsidRDefault="003E79B0" w:rsidP="003E79B0">
      <w:r>
        <w:separator/>
      </w:r>
    </w:p>
  </w:footnote>
  <w:footnote w:type="continuationSeparator" w:id="0">
    <w:p w14:paraId="3A910D5D" w14:textId="77777777" w:rsidR="003E79B0" w:rsidRDefault="003E79B0" w:rsidP="003E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740709619">
    <w:abstractNumId w:val="5"/>
  </w:num>
  <w:num w:numId="2" w16cid:durableId="972170831">
    <w:abstractNumId w:val="6"/>
  </w:num>
  <w:num w:numId="3" w16cid:durableId="295650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545824">
    <w:abstractNumId w:val="3"/>
  </w:num>
  <w:num w:numId="5" w16cid:durableId="1929535313">
    <w:abstractNumId w:val="15"/>
  </w:num>
  <w:num w:numId="6" w16cid:durableId="1337028714">
    <w:abstractNumId w:val="2"/>
  </w:num>
  <w:num w:numId="7" w16cid:durableId="1534613192">
    <w:abstractNumId w:val="1"/>
  </w:num>
  <w:num w:numId="8" w16cid:durableId="495416076">
    <w:abstractNumId w:val="13"/>
  </w:num>
  <w:num w:numId="9" w16cid:durableId="298845341">
    <w:abstractNumId w:val="4"/>
  </w:num>
  <w:num w:numId="10" w16cid:durableId="47848681">
    <w:abstractNumId w:val="14"/>
  </w:num>
  <w:num w:numId="11" w16cid:durableId="943534341">
    <w:abstractNumId w:val="11"/>
  </w:num>
  <w:num w:numId="12" w16cid:durableId="646514423">
    <w:abstractNumId w:val="12"/>
  </w:num>
  <w:num w:numId="13" w16cid:durableId="813764247">
    <w:abstractNumId w:val="8"/>
  </w:num>
  <w:num w:numId="14" w16cid:durableId="1129009194">
    <w:abstractNumId w:val="10"/>
  </w:num>
  <w:num w:numId="15" w16cid:durableId="6761661">
    <w:abstractNumId w:val="7"/>
  </w:num>
  <w:num w:numId="16" w16cid:durableId="13461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BC"/>
    <w:rsid w:val="00014305"/>
    <w:rsid w:val="00030884"/>
    <w:rsid w:val="001A11D8"/>
    <w:rsid w:val="001C5BBC"/>
    <w:rsid w:val="00233022"/>
    <w:rsid w:val="00251B06"/>
    <w:rsid w:val="002F3FFC"/>
    <w:rsid w:val="00304774"/>
    <w:rsid w:val="00347443"/>
    <w:rsid w:val="003A1119"/>
    <w:rsid w:val="003E79B0"/>
    <w:rsid w:val="0042675C"/>
    <w:rsid w:val="00444D0E"/>
    <w:rsid w:val="00464CB5"/>
    <w:rsid w:val="004B2BFE"/>
    <w:rsid w:val="00544CBD"/>
    <w:rsid w:val="00561BAD"/>
    <w:rsid w:val="00576FE2"/>
    <w:rsid w:val="005952AA"/>
    <w:rsid w:val="005A0B88"/>
    <w:rsid w:val="005C03DB"/>
    <w:rsid w:val="005F4F36"/>
    <w:rsid w:val="007138FD"/>
    <w:rsid w:val="0073692F"/>
    <w:rsid w:val="007631EC"/>
    <w:rsid w:val="00797449"/>
    <w:rsid w:val="00837E35"/>
    <w:rsid w:val="00864DCD"/>
    <w:rsid w:val="00891E3A"/>
    <w:rsid w:val="008C7FB0"/>
    <w:rsid w:val="008F3BE7"/>
    <w:rsid w:val="00A01D43"/>
    <w:rsid w:val="00A04717"/>
    <w:rsid w:val="00A7703E"/>
    <w:rsid w:val="00AA021E"/>
    <w:rsid w:val="00B36692"/>
    <w:rsid w:val="00B77D52"/>
    <w:rsid w:val="00BF546F"/>
    <w:rsid w:val="00D31F43"/>
    <w:rsid w:val="00D542C4"/>
    <w:rsid w:val="00D66623"/>
    <w:rsid w:val="00DA07FB"/>
    <w:rsid w:val="00DA1E27"/>
    <w:rsid w:val="00E04955"/>
    <w:rsid w:val="00E61A08"/>
    <w:rsid w:val="00E87145"/>
    <w:rsid w:val="00E95393"/>
    <w:rsid w:val="00EB3E46"/>
    <w:rsid w:val="00F16219"/>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1C09"/>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table" w:customStyle="1" w:styleId="Tablaconcuadrcula1">
    <w:name w:val="Tabla con cuadrícula1"/>
    <w:basedOn w:val="Tablanormal"/>
    <w:next w:val="Tablaconcuadrcula"/>
    <w:uiPriority w:val="59"/>
    <w:rsid w:val="005A0B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3E79B0"/>
    <w:pPr>
      <w:tabs>
        <w:tab w:val="center" w:pos="4252"/>
        <w:tab w:val="right" w:pos="8504"/>
      </w:tabs>
    </w:pPr>
  </w:style>
  <w:style w:type="character" w:customStyle="1" w:styleId="EncabezadoCar">
    <w:name w:val="Encabezado Car"/>
    <w:basedOn w:val="Fuentedeprrafopredeter"/>
    <w:link w:val="Encabezado"/>
    <w:rsid w:val="003E79B0"/>
    <w:rPr>
      <w:sz w:val="24"/>
      <w:szCs w:val="24"/>
    </w:rPr>
  </w:style>
  <w:style w:type="paragraph" w:styleId="Piedepgina">
    <w:name w:val="footer"/>
    <w:basedOn w:val="Normal"/>
    <w:link w:val="PiedepginaCar"/>
    <w:unhideWhenUsed/>
    <w:rsid w:val="003E79B0"/>
    <w:pPr>
      <w:tabs>
        <w:tab w:val="center" w:pos="4252"/>
        <w:tab w:val="right" w:pos="8504"/>
      </w:tabs>
    </w:pPr>
  </w:style>
  <w:style w:type="character" w:customStyle="1" w:styleId="PiedepginaCar">
    <w:name w:val="Pie de página Car"/>
    <w:basedOn w:val="Fuentedeprrafopredeter"/>
    <w:link w:val="Piedepgina"/>
    <w:rsid w:val="003E79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902</Words>
  <Characters>5295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7</cp:revision>
  <dcterms:created xsi:type="dcterms:W3CDTF">2024-04-11T11:52:00Z</dcterms:created>
  <dcterms:modified xsi:type="dcterms:W3CDTF">2024-04-22T06:36:00Z</dcterms:modified>
</cp:coreProperties>
</file>