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7C47D" w14:textId="5904B973" w:rsidR="00C5154F" w:rsidRDefault="00C5154F">
      <w:pPr>
        <w:spacing w:after="1" w:line="360" w:lineRule="auto"/>
        <w:ind w:left="-5"/>
      </w:pPr>
      <w:r>
        <w:t xml:space="preserve">El Consejero del Departamento de Economía y Hacienda, en relación con la Pregunta escrita formulada por D. Angel Ansa Echegaray, parlamentario foral adscrito al Grupo Parlamentario Unión del Pueblo Navarro, registrada con número de salida del Parlamento de Navarra 202403548, de 6 de mayo de 2024, (11-24/PES-227), solicitando información relativa a la ejecución de los fondos europeos Next </w:t>
      </w:r>
      <w:proofErr w:type="spellStart"/>
      <w:r>
        <w:t>Generation</w:t>
      </w:r>
      <w:proofErr w:type="spellEnd"/>
      <w:r>
        <w:t xml:space="preserve"> MRR, tiene el honor de informarle lo siguiente: </w:t>
      </w:r>
    </w:p>
    <w:p w14:paraId="38032EA4" w14:textId="77777777" w:rsidR="00C5154F" w:rsidRDefault="00C5154F">
      <w:pPr>
        <w:spacing w:after="1" w:line="360" w:lineRule="auto"/>
        <w:ind w:left="-5"/>
      </w:pPr>
      <w:r>
        <w:t xml:space="preserve">En el mes de marzo de 2024, como novedad, se ofrece en el Portal de Transparencia y Gobierno Abierto del Gobierno de Navarra, la información relativa a los perceptores de fondos europeos MRR en relación con el Plan de Recuperación Transformación y Resiliencia (PRTR). En este nuevo Excel, se ofrece información sobre el grado de ejecución de los fondos gestionados por Gobierno de Navarra en la Comunidad Foral de Navarra, que deriva directamente de la contabilidad y pagos efectuados. </w:t>
      </w:r>
    </w:p>
    <w:p w14:paraId="2C4CE68D" w14:textId="00BDBF1F" w:rsidR="00C5154F" w:rsidRDefault="00C5154F">
      <w:pPr>
        <w:spacing w:after="1" w:line="360" w:lineRule="auto"/>
        <w:ind w:left="-5"/>
      </w:pPr>
      <w:r>
        <w:t xml:space="preserve">La información global tal cual consta en el Excel ofrece un grado de ejecución total (dinero ya abonado por Gobierno de Navarra a perceptores de fondos) en la Celda </w:t>
      </w:r>
      <w:proofErr w:type="spellStart"/>
      <w:r>
        <w:t>10.E</w:t>
      </w:r>
      <w:proofErr w:type="spellEnd"/>
      <w:r>
        <w:t xml:space="preserve"> de 182.296.822€ a cierre del mes de marzo de 2024. Pues bien, en el menú </w:t>
      </w:r>
      <w:proofErr w:type="spellStart"/>
      <w:r>
        <w:t>C.2</w:t>
      </w:r>
      <w:proofErr w:type="spellEnd"/>
      <w:r>
        <w:t xml:space="preserve">) Forma Jurídica, se pueden seleccionar solo las entidades y personas privadas (excluyendo perceptores públicos), que son: </w:t>
      </w:r>
    </w:p>
    <w:p w14:paraId="2498CD26" w14:textId="6D2129C9" w:rsidR="001115FA" w:rsidRDefault="00C5154F">
      <w:pPr>
        <w:ind w:left="-5"/>
      </w:pPr>
      <w:r>
        <w:t xml:space="preserve">1.- Asociaciones y Fundaciones </w:t>
      </w:r>
    </w:p>
    <w:p w14:paraId="1502F73C" w14:textId="77777777" w:rsidR="001115FA" w:rsidRDefault="00C5154F">
      <w:pPr>
        <w:ind w:left="-5"/>
      </w:pPr>
      <w:r>
        <w:t xml:space="preserve">2.- Comunidades de bienes y sociedades civiles </w:t>
      </w:r>
    </w:p>
    <w:p w14:paraId="2DD376C4" w14:textId="77777777" w:rsidR="001115FA" w:rsidRDefault="00C5154F">
      <w:pPr>
        <w:ind w:left="-5"/>
      </w:pPr>
      <w:r>
        <w:t xml:space="preserve">3.- Comunidades de Propietarios </w:t>
      </w:r>
    </w:p>
    <w:p w14:paraId="247FF8FF" w14:textId="77777777" w:rsidR="001115FA" w:rsidRDefault="00C5154F">
      <w:pPr>
        <w:ind w:left="-5"/>
      </w:pPr>
      <w:r>
        <w:t xml:space="preserve">4.- Congregaciones e Instituciones Religiosas </w:t>
      </w:r>
    </w:p>
    <w:p w14:paraId="5C802687" w14:textId="77777777" w:rsidR="001115FA" w:rsidRDefault="00C5154F">
      <w:pPr>
        <w:ind w:left="-5"/>
      </w:pPr>
      <w:r>
        <w:t xml:space="preserve">6.- Empresas (sociedades, entidades extranjeras y </w:t>
      </w:r>
      <w:proofErr w:type="spellStart"/>
      <w:r>
        <w:t>UTE´s</w:t>
      </w:r>
      <w:proofErr w:type="spellEnd"/>
      <w:r>
        <w:t xml:space="preserve">) </w:t>
      </w:r>
    </w:p>
    <w:p w14:paraId="3B52E55B" w14:textId="77777777" w:rsidR="001115FA" w:rsidRDefault="00C5154F">
      <w:pPr>
        <w:ind w:left="-5"/>
      </w:pPr>
      <w:r>
        <w:t xml:space="preserve">8.- Familias y Autónomos </w:t>
      </w:r>
    </w:p>
    <w:p w14:paraId="290905CC" w14:textId="77777777" w:rsidR="00C5154F" w:rsidRDefault="00C5154F">
      <w:pPr>
        <w:ind w:left="-5"/>
      </w:pPr>
      <w:r>
        <w:t xml:space="preserve">10.- Otros </w:t>
      </w:r>
    </w:p>
    <w:p w14:paraId="6F1F4915" w14:textId="77777777" w:rsidR="00C5154F" w:rsidRDefault="00C5154F">
      <w:pPr>
        <w:spacing w:line="396" w:lineRule="auto"/>
        <w:ind w:left="-5"/>
      </w:pPr>
      <w:r>
        <w:t xml:space="preserve">Esta selección arroja 6.602 celdas seleccionadas. La suma de todas ellas se calcula de nuevo en la Celda </w:t>
      </w:r>
      <w:proofErr w:type="spellStart"/>
      <w:r>
        <w:t>10.E</w:t>
      </w:r>
      <w:proofErr w:type="spellEnd"/>
      <w:r>
        <w:t xml:space="preserve"> y asciende a 133.740.598€. </w:t>
      </w:r>
    </w:p>
    <w:p w14:paraId="2E64AE1E" w14:textId="14969002" w:rsidR="001115FA" w:rsidRDefault="00C5154F">
      <w:pPr>
        <w:spacing w:after="133"/>
        <w:ind w:left="-5"/>
      </w:pPr>
      <w:r>
        <w:t xml:space="preserve">Aplicando una sencilla regla de tres, resulta que 133.740.598€ sobre </w:t>
      </w:r>
    </w:p>
    <w:p w14:paraId="224B9E2B" w14:textId="77777777" w:rsidR="00C5154F" w:rsidRDefault="00C5154F">
      <w:pPr>
        <w:spacing w:after="2" w:line="359" w:lineRule="auto"/>
        <w:ind w:left="-5"/>
      </w:pPr>
      <w:r>
        <w:t xml:space="preserve">182.296.822€ supone que el 73,36% de los fondos europeos de esta naturaleza han sido pagados al ámbito privado (fuera del ámbito público). </w:t>
      </w:r>
    </w:p>
    <w:p w14:paraId="4037B941" w14:textId="0A59CB53" w:rsidR="00C5154F" w:rsidRDefault="00C5154F">
      <w:pPr>
        <w:spacing w:after="6" w:line="359" w:lineRule="auto"/>
        <w:ind w:left="-5"/>
      </w:pPr>
      <w:r>
        <w:t xml:space="preserve">Es cuanto tengo el honor de informar en cumplimiento de lo dispuesto en el artículo 215 del Reglamento del Parlamento de Navarra. </w:t>
      </w:r>
    </w:p>
    <w:p w14:paraId="372D4F4F" w14:textId="31D9F86F" w:rsidR="001115FA" w:rsidRDefault="00C5154F">
      <w:pPr>
        <w:spacing w:after="0"/>
        <w:ind w:left="-5"/>
      </w:pPr>
      <w:r>
        <w:t xml:space="preserve">Pamplona, 27 de mayo de 2024. </w:t>
      </w:r>
    </w:p>
    <w:p w14:paraId="5B178EA3" w14:textId="3E2719F8" w:rsidR="00C5154F" w:rsidRDefault="00C5154F" w:rsidP="00C5154F">
      <w:pPr>
        <w:spacing w:after="0"/>
        <w:ind w:right="4"/>
        <w:jc w:val="center"/>
      </w:pPr>
      <w:r>
        <w:t xml:space="preserve">El Consejero de Economía y Hacienda: José Luis </w:t>
      </w:r>
      <w:proofErr w:type="spellStart"/>
      <w:r>
        <w:t>Arasti</w:t>
      </w:r>
      <w:proofErr w:type="spellEnd"/>
      <w:r>
        <w:t xml:space="preserve"> Pérez </w:t>
      </w:r>
    </w:p>
    <w:p w14:paraId="7CC5E3AA" w14:textId="0B9BF080" w:rsidR="001115FA" w:rsidRDefault="00C5154F" w:rsidP="00C5154F">
      <w:pPr>
        <w:spacing w:after="0"/>
        <w:ind w:left="53" w:firstLine="0"/>
        <w:jc w:val="center"/>
      </w:pPr>
      <w:r>
        <w:t xml:space="preserve"> </w:t>
      </w:r>
    </w:p>
    <w:sectPr w:rsidR="001115FA" w:rsidSect="00C5154F">
      <w:pgSz w:w="11900" w:h="16840"/>
      <w:pgMar w:top="1701" w:right="1552" w:bottom="32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FA"/>
    <w:rsid w:val="000B6529"/>
    <w:rsid w:val="001115FA"/>
    <w:rsid w:val="00322BF7"/>
    <w:rsid w:val="005462A9"/>
    <w:rsid w:val="006661CA"/>
    <w:rsid w:val="00837A5E"/>
    <w:rsid w:val="00C515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FA2E"/>
  <w15:docId w15:val="{69FB4705-E9EB-4FFA-AFB4-12625E9C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8" w:line="259" w:lineRule="auto"/>
      <w:ind w:left="10" w:hanging="10"/>
      <w:jc w:val="both"/>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1809</Characters>
  <Application>Microsoft Office Word</Application>
  <DocSecurity>0</DocSecurity>
  <Lines>15</Lines>
  <Paragraphs>4</Paragraphs>
  <ScaleCrop>false</ScaleCrop>
  <Company>Hewlett-Packard Company</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4</cp:revision>
  <dcterms:created xsi:type="dcterms:W3CDTF">2024-05-28T08:00:00Z</dcterms:created>
  <dcterms:modified xsi:type="dcterms:W3CDTF">2024-06-06T11:35:00Z</dcterms:modified>
</cp:coreProperties>
</file>