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15D9" w14:textId="2CAA0C46" w:rsidR="008D7F85" w:rsidRPr="00AE1E6F" w:rsidRDefault="00AE1E6F" w:rsidP="00AE1E6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E1E6F">
        <w:rPr>
          <w:rFonts w:ascii="Calibri" w:hAnsi="Calibri" w:cs="Calibri"/>
          <w:sz w:val="22"/>
          <w:szCs w:val="22"/>
        </w:rPr>
        <w:t>24PES-310</w:t>
      </w:r>
    </w:p>
    <w:p w14:paraId="61FF22A3" w14:textId="46C5C452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Adolfo Araiz Flamarique, miembro del Grupo Parlamentario E.H. Bildu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Nafarroa, ante la Mesa de la Cámara presenta para su tramitación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preguntas para su respuesta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AE1E6F">
        <w:rPr>
          <w:rFonts w:ascii="Calibri" w:hAnsi="Calibri" w:cs="Calibri"/>
          <w:kern w:val="0"/>
          <w:sz w:val="22"/>
          <w:szCs w:val="22"/>
        </w:rPr>
        <w:t>scrita para que se respondan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Departamento de Economía y Hacienda.</w:t>
      </w:r>
    </w:p>
    <w:p w14:paraId="5778A5F6" w14:textId="40046BF5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En la última sesión de la en la Comisión de Lucha contra el Fraude y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Economía Sumergida se informó por los responsables del Departamento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Economía y Hacienda que como consecuencia de las labores de gestión tributaria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del año 2023 se había reclamado a una gran empresa 100 millones de euros 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satisfechos en concepto de declaración de IVA.</w:t>
      </w:r>
    </w:p>
    <w:p w14:paraId="6B2AC5B4" w14:textId="29C36BB6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El Tribunal Supremo, en su Sentencia n</w:t>
      </w:r>
      <w:r>
        <w:rPr>
          <w:rFonts w:ascii="Calibri" w:hAnsi="Calibri" w:cs="Calibri"/>
          <w:kern w:val="0"/>
          <w:sz w:val="22"/>
          <w:szCs w:val="22"/>
        </w:rPr>
        <w:t>.</w:t>
      </w:r>
      <w:r w:rsidRPr="00AE1E6F">
        <w:rPr>
          <w:rFonts w:ascii="Calibri" w:hAnsi="Calibri" w:cs="Calibri"/>
          <w:kern w:val="0"/>
          <w:sz w:val="22"/>
          <w:szCs w:val="22"/>
        </w:rPr>
        <w:t>º 257, de fecha 24 de febrero de 2021</w:t>
      </w:r>
      <w:r>
        <w:rPr>
          <w:rFonts w:ascii="Calibri" w:hAnsi="Calibri" w:cs="Calibri"/>
          <w:kern w:val="0"/>
          <w:sz w:val="22"/>
          <w:szCs w:val="22"/>
        </w:rPr>
        <w:t xml:space="preserve">, </w:t>
      </w:r>
      <w:r w:rsidRPr="00AE1E6F">
        <w:rPr>
          <w:rFonts w:ascii="Calibri" w:hAnsi="Calibri" w:cs="Calibri"/>
          <w:kern w:val="0"/>
          <w:sz w:val="22"/>
          <w:szCs w:val="22"/>
        </w:rPr>
        <w:t>(Recurso de Casación núm. 2162/2020), ha declarado que el artículo 95 de la Ley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58/2003, de 17 de diciembre, General Tributaria (cuyo equivalente en la normativa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foral sería el artículo 105 de la Ley Foral 13/2000, de 14 de diciembre, General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Tributaria de Navarra)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 en el que se prevé la reserva o confidencialidad de los datos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fiscales, no impide el acceso a la información pública en materia tributaria, ya que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LGT no contiene un régimen completo y autónomo de acceso a la información, sino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un principio o regla general de reserva de los datos con relevancia tributaria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garantía del derecho fundamental a la intimidad de los ciudadanos (art. 18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Constitución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AE1E6F">
        <w:rPr>
          <w:rFonts w:ascii="Calibri" w:hAnsi="Calibri" w:cs="Calibri"/>
          <w:kern w:val="0"/>
          <w:sz w:val="22"/>
          <w:szCs w:val="22"/>
        </w:rPr>
        <w:t>spañola).</w:t>
      </w:r>
    </w:p>
    <w:p w14:paraId="62EF8067" w14:textId="77777777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En esta sentencia el Tribunal Supremo señala que:</w:t>
      </w:r>
    </w:p>
    <w:p w14:paraId="3D30A09A" w14:textId="34145B12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 xml:space="preserve">“La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AE1E6F">
        <w:rPr>
          <w:rFonts w:ascii="Calibri" w:hAnsi="Calibri" w:cs="Calibri"/>
          <w:kern w:val="0"/>
          <w:sz w:val="22"/>
          <w:szCs w:val="22"/>
        </w:rPr>
        <w:t>ey General Tributaria ha de interpretarse en el conjunto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ordenamiento jurídico y a la luz de las nuevas garantías introducidas en la Ley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19/2013, de Transparencia, lo que lleva a concluir que su regulación no excluye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ni prevé la posibilidad de que se pueda recabar información a la Administración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Tributaria sobre determinados elementos con contenido tributario, al ser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aplicación la DA 1ª de la Ley de Transparencia, como sucede en los supuestos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en el que la información no entra en colisión con la el derecho a la intimidad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los particulares -a los que se reconoce el derecho a la limitación de acceso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artículo 34 de la propia Ley General Tributaria-, o cuando los datos que obran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en poder de la Administración pueden ser necesarios para que los ciudadanos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puedan hacer valer sus derechos, o puedan estar informados de la actuación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pública, información que ha de ajustarse a los límites que la propia Ley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Transparencia establece en su artículo 14 y a la protección de datos del artículo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15 (…)</w:t>
      </w:r>
      <w:r>
        <w:rPr>
          <w:rFonts w:ascii="Calibri" w:hAnsi="Calibri" w:cs="Calibri"/>
          <w:kern w:val="0"/>
          <w:sz w:val="22"/>
          <w:szCs w:val="22"/>
        </w:rPr>
        <w:t>”</w:t>
      </w:r>
      <w:r w:rsidRPr="00AE1E6F">
        <w:rPr>
          <w:rFonts w:ascii="Calibri" w:hAnsi="Calibri" w:cs="Calibri"/>
          <w:kern w:val="0"/>
          <w:sz w:val="22"/>
          <w:szCs w:val="22"/>
        </w:rPr>
        <w:t>.</w:t>
      </w:r>
    </w:p>
    <w:p w14:paraId="2A7F2D02" w14:textId="073159B4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Dicho en otras palabras, el artículo 95 de la LGT no desplaza ni hace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inaplicable el régimen de acceso a la información pública previsto en la Ley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19/2013, de 9 de diciembre, de transparencia, acceso a la información pública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buen gobierno.</w:t>
      </w:r>
    </w:p>
    <w:p w14:paraId="1F3A9237" w14:textId="432419AA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Esta sentencia del Tribunal Supremo viene a aclarar un tema muy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controvertido. La reserva o confidencialidad de los datos fiscales, prevista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artículo 95 de la LGT</w:t>
      </w:r>
      <w:r w:rsidR="00834BBC">
        <w:rPr>
          <w:rFonts w:ascii="Calibri" w:hAnsi="Calibri" w:cs="Calibri"/>
          <w:kern w:val="0"/>
          <w:sz w:val="22"/>
          <w:szCs w:val="22"/>
        </w:rPr>
        <w:t>,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 no impide la aplicación de la Ley 19/2013, de transparencia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−</w:t>
      </w:r>
      <w:r w:rsidRPr="00AE1E6F">
        <w:rPr>
          <w:rFonts w:ascii="Calibri" w:hAnsi="Calibri" w:cs="Calibri"/>
          <w:kern w:val="0"/>
          <w:sz w:val="22"/>
          <w:szCs w:val="22"/>
        </w:rPr>
        <w:t>ni por ende la Ley Foral 5/2018, de 17 de mayo, de Transparencia, acceso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información pública y buen gobierno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−</w:t>
      </w:r>
      <w:r w:rsidRPr="00AE1E6F">
        <w:rPr>
          <w:rFonts w:ascii="Calibri" w:hAnsi="Calibri" w:cs="Calibri"/>
          <w:kern w:val="0"/>
          <w:sz w:val="22"/>
          <w:szCs w:val="22"/>
        </w:rPr>
        <w:t>. La protección de los datos que facilitan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contribuyentes a la Administración tributaria deben ser protegidos si afectan 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intimidad.</w:t>
      </w:r>
    </w:p>
    <w:p w14:paraId="63CCC567" w14:textId="6E485514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lastRenderedPageBreak/>
        <w:t>Por tanto, y pese a la actuación del Departamento en este sentido, ningún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problema existe para facilitar información tributaria que no afecte a la intimidad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los ciudadanos, por ejemplo, entre otros, en los siguientes supuestos:</w:t>
      </w:r>
    </w:p>
    <w:p w14:paraId="41BDDF94" w14:textId="77777777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a) Datos sobre la actividad tributaria de la Administración pública.</w:t>
      </w:r>
    </w:p>
    <w:p w14:paraId="54CD02EE" w14:textId="3537F13D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b) Información general sobre actuaciones y procedimientos tributarios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comprobación, inspección, liquidación y recaudación.</w:t>
      </w:r>
    </w:p>
    <w:p w14:paraId="25A546E2" w14:textId="30132DC1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c) Diligencias y comparecencias efectuadas, autorizaciones judiciales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obtenidas, liquidaciones, providencias de apremio y diligencias de embargo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emitidas.</w:t>
      </w:r>
    </w:p>
    <w:p w14:paraId="77C111D7" w14:textId="6B92BF6D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d) Información general sobre denuncias recibidas y tramitadas; exenciones,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bonificaciones o incentivos fiscales concedidos; declaración de créditos incobrables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y fallidos; procedimientos sancionadores incoados y sanciones impuestas; recursos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y reclamaciones recibidas, estimadas y desestimadas; procedimientos caducados;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infracciones y sanciones prescritas, etc.</w:t>
      </w:r>
    </w:p>
    <w:p w14:paraId="00DAB2C3" w14:textId="342737F1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e) El listado de los deudores a la Hacienda Pública (nombre, apellidos,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denominación social, NIF) cuando el importe total de las deudas y sanciones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tributarias pendientes</w:t>
      </w:r>
      <w:r w:rsidR="00153DA8">
        <w:rPr>
          <w:rFonts w:ascii="Calibri" w:hAnsi="Calibri" w:cs="Calibri"/>
          <w:kern w:val="0"/>
          <w:sz w:val="22"/>
          <w:szCs w:val="22"/>
        </w:rPr>
        <w:t xml:space="preserve"> sea de 100.000 euros.</w:t>
      </w:r>
    </w:p>
    <w:p w14:paraId="55866302" w14:textId="7DB7CD37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Es importante recordar que si todas las personas tenemos el deber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constitucional de pagar impuestos para contribuir al sostenimiento de los gastos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públicos es justo que podamos obtener información sobre la actividad desarrollada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E1E6F">
        <w:rPr>
          <w:rFonts w:ascii="Calibri" w:hAnsi="Calibri" w:cs="Calibri"/>
          <w:kern w:val="0"/>
          <w:sz w:val="22"/>
          <w:szCs w:val="22"/>
        </w:rPr>
        <w:t>por la Administración en la gestión de los tributos.</w:t>
      </w:r>
    </w:p>
    <w:p w14:paraId="1F911F71" w14:textId="77777777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A la vista de todo ello, se formulan las siguientes preguntas:</w:t>
      </w:r>
    </w:p>
    <w:p w14:paraId="5012EC80" w14:textId="714100D1" w:rsidR="00AE1E6F" w:rsidRPr="00AE1E6F" w:rsidRDefault="00AE1E6F" w:rsidP="00AE1E6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¿Cuál es la razón social de la empresa a la que en las labores de gestión tributaria del IVA se le ha requerido del pago de 100 millones de euros no satisfechos durante el ejercicio de 2023?</w:t>
      </w:r>
    </w:p>
    <w:p w14:paraId="0EFF47E2" w14:textId="350C286A" w:rsidR="00AE1E6F" w:rsidRPr="00AE1E6F" w:rsidRDefault="00AE1E6F" w:rsidP="00AE1E6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¿Cuál es la identificación de las personas físicas o jurídicas que según las labores de inspección realizadas en 2023 podrían haber cometido delito fiscal y a las que se les habría denunciado ante el Ministerio Fiscal o ante los tribunales de justicia</w:t>
      </w:r>
      <w:r w:rsidR="00591D27">
        <w:rPr>
          <w:rFonts w:ascii="Calibri" w:hAnsi="Calibri" w:cs="Calibri"/>
          <w:kern w:val="0"/>
          <w:sz w:val="22"/>
          <w:szCs w:val="22"/>
        </w:rPr>
        <w:t>?</w:t>
      </w:r>
    </w:p>
    <w:p w14:paraId="727561B5" w14:textId="7A7D0474" w:rsidR="00AE1E6F" w:rsidRPr="00AE1E6F" w:rsidRDefault="00AE1E6F" w:rsidP="00AE1E6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E1E6F">
        <w:rPr>
          <w:rFonts w:ascii="Calibri" w:hAnsi="Calibri" w:cs="Calibri"/>
          <w:kern w:val="0"/>
          <w:sz w:val="22"/>
          <w:szCs w:val="22"/>
        </w:rPr>
        <w:t>Iruñea/Pamplona</w:t>
      </w:r>
      <w:r>
        <w:rPr>
          <w:rFonts w:ascii="Calibri" w:hAnsi="Calibri" w:cs="Calibri"/>
          <w:kern w:val="0"/>
          <w:sz w:val="22"/>
          <w:szCs w:val="22"/>
        </w:rPr>
        <w:t>, 13 de junio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041641AB" w14:textId="5BA1142F" w:rsidR="00AE1E6F" w:rsidRPr="00AE1E6F" w:rsidRDefault="00AE1E6F" w:rsidP="00AE1E6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</w:t>
      </w:r>
      <w:r w:rsidRPr="00AE1E6F">
        <w:rPr>
          <w:rFonts w:ascii="Calibri" w:hAnsi="Calibri" w:cs="Calibri"/>
          <w:kern w:val="0"/>
          <w:sz w:val="22"/>
          <w:szCs w:val="22"/>
        </w:rPr>
        <w:t xml:space="preserve"> Adolfo Araiz Flamarique</w:t>
      </w:r>
    </w:p>
    <w:sectPr w:rsidR="00AE1E6F" w:rsidRPr="00AE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6749"/>
    <w:multiLevelType w:val="hybridMultilevel"/>
    <w:tmpl w:val="CA4664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1A52"/>
    <w:multiLevelType w:val="hybridMultilevel"/>
    <w:tmpl w:val="C0981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701D"/>
    <w:multiLevelType w:val="hybridMultilevel"/>
    <w:tmpl w:val="4762CD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9015">
    <w:abstractNumId w:val="2"/>
  </w:num>
  <w:num w:numId="2" w16cid:durableId="2042364656">
    <w:abstractNumId w:val="0"/>
  </w:num>
  <w:num w:numId="3" w16cid:durableId="208682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6F"/>
    <w:rsid w:val="00153DA8"/>
    <w:rsid w:val="001F4FA0"/>
    <w:rsid w:val="005762CC"/>
    <w:rsid w:val="00591D27"/>
    <w:rsid w:val="005E45BC"/>
    <w:rsid w:val="00834BBC"/>
    <w:rsid w:val="008A69F1"/>
    <w:rsid w:val="008D7F85"/>
    <w:rsid w:val="00A36075"/>
    <w:rsid w:val="00AE1E6F"/>
    <w:rsid w:val="00D61578"/>
    <w:rsid w:val="00E2340F"/>
    <w:rsid w:val="00EC2FCE"/>
    <w:rsid w:val="00F57D59"/>
    <w:rsid w:val="00F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848A"/>
  <w15:chartTrackingRefBased/>
  <w15:docId w15:val="{D1F18255-42FD-4FEE-AAEA-3AAD89F4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1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1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1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E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E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E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E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E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E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1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1E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1E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1E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1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1E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1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8</cp:revision>
  <dcterms:created xsi:type="dcterms:W3CDTF">2024-06-14T06:43:00Z</dcterms:created>
  <dcterms:modified xsi:type="dcterms:W3CDTF">2024-06-20T06:05:00Z</dcterms:modified>
</cp:coreProperties>
</file>