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015D9" w14:textId="2CAA0C46" w:rsidR="008D7F85" w:rsidRPr="00AE1E6F" w:rsidRDefault="00AE1E6F" w:rsidP="00AE1E6F">
      <w:pPr>
        <w:spacing w:before="100" w:beforeAutospacing="1" w:after="200" w:line="276" w:lineRule="auto"/>
        <w:jc w:val="both"/>
        <w:rPr>
          <w:sz w:val="22"/>
          <w:szCs w:val="22"/>
          <w:rFonts w:ascii="Calibri" w:hAnsi="Calibri" w:cs="Calibri"/>
        </w:rPr>
      </w:pPr>
      <w:r>
        <w:rPr>
          <w:sz w:val="22"/>
          <w:rFonts w:ascii="Calibri" w:hAnsi="Calibri"/>
        </w:rPr>
        <w:t xml:space="preserve">24PES-310</w:t>
      </w:r>
    </w:p>
    <w:p w14:paraId="61FF22A3" w14:textId="46C5C452"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EH Bildu Nafarroa talde parlamentarioko Adolfo Araiz Flamariquek honako galdera hauek aurkezten dizkio Legebiltzarreko Mahaiari, izapidetu ditzan eta Ekonomia eta Ogasun Departamentuak idatziz erantzun diezazkion:</w:t>
      </w:r>
    </w:p>
    <w:p w14:paraId="5778A5F6" w14:textId="40046BF5"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Iruzurraren eta ezkutuko ekonomiaren kontra borrokatzeko Batzordearen azken saioan, Ekonomia eta Ogasun Departamentuko arduradunek informatu zuten 2023ko zerga-kudeaketako lanen ondorioz enpresa handi bati BEZaren aitorpena dela-eta ordaindu gabeko 100 milioi euro erreklamatu zitzaizkiola.</w:t>
      </w:r>
    </w:p>
    <w:p w14:paraId="6B2AC5B4" w14:textId="29C36BB6"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Auzitegi Gorenak 2021eko otsailaren 24ko 257 zenbakiko epaian deklaratu du (2162/2020 kasazio-errekurtsoa) Tributuei buruzko abenduaren 17ko 58/2003 Lege Orokorraren 95. artikuluak, zeinean datu fiskalen erreserba edo konfidentzialtasuna aurreikusten baita, ez duela eragozten informazio publikorako sarbidea tributu-arloan (foru-araudian, Nafarroako Tributuei buruzko abenduaren 14ko 13/2000 Foru Lege Orokorraren 105. artikulua izanen litzateke horren baliokidea); izan ere, Tributuei buruzko Lege Orokorrak ez du jasotzen informaziorako sarbiderako araubide oso eta autonomo bat, baizik eta tributu-datu garrantzitsuen erreserbarako printzipio edo arau orokor bat, herritarren intimitaterako oinarrizko eskubidearen berme gisa (Espainiako Konstituzioaren 18. artikulua).</w:t>
      </w:r>
    </w:p>
    <w:p w14:paraId="62EF8067" w14:textId="77777777"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Epai horretan, Auzitegi Gorenak honako hau dio:</w:t>
      </w:r>
    </w:p>
    <w:p w14:paraId="3D30A09A" w14:textId="6C0A2511"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"Ordenamendu juridikoaren osotasunean eta Gardentasunari buruzko 19/2013 Legeko berme berrien argitan interpretatu behar da Tributuei buruzko Lege Orokorra; hortaz, horren erregulazioak ez du ez baztertzen ez aurreikusten Tributu Administrazioari informazioa eskatu ahal izatea tributu-edukiko elementu jakin batzuei buruz, Gardentasunari buruzko Legearen lehenbiziko xedapen gehigarria baita aplikatu beharrekoa baldin eta informazioak ez badu talka egiten partikularren intimitaterako eskubidearekin –Tributuei buruzko Lege Orokorraren 34. artikuluak berak partikularrei aitortzen die sarbidea mugatzeko eskubidea–, edo Administrazioak dauzkan datuak beharrezkoak izan daitezkeenean herritarrek beren eskubideak baliarazi ahal izan ditzaten, edo jarduketa publikoaz informatuta egon daitezen. Informazio hori Gardentasunari buruzko Legearen 14. artikuluan ezartzen diren mugei egokitu behar zaie, bai eta 15. artikuluan ezarritako datuen babesari ere (...)".</w:t>
      </w:r>
    </w:p>
    <w:p w14:paraId="2A7F2D02" w14:textId="49DB9D34"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Bestela esanda, Tributuei buruzko Lege Organikoak ez du ez ordezkatzen ez aplikaezin bihurtzen Gardentasunari, informazio publikoa eskuratzeari eta gobernu onari buruzko abenduaren 9ko 19/2013 Legean ezartzen den informazio publikorako sarbidearen araubidea.</w:t>
      </w:r>
    </w:p>
    <w:p w14:paraId="1F3A9237" w14:textId="1B27A74E"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Auzitegi Gorenaren epai horrek oso gai eztabaidagarria argitzen du.</w:t>
      </w:r>
      <w:r>
        <w:rPr>
          <w:sz w:val="22"/>
          <w:rFonts w:ascii="Calibri" w:hAnsi="Calibri"/>
        </w:rPr>
        <w:t xml:space="preserve"> </w:t>
      </w:r>
      <w:r>
        <w:t xml:space="preserve">Tributuei buruzko Lege Organikoaren 95. artikuluan ezartzen den datu fiskalen erreserbak edo konfidentzialtasunak ez du eragozten Gardentasunari buruzko 19/2013 Legea aplikatzea, ez eta, hortaz, Gardentasunari, informazio publikoa eskuratzeari eta gobernu onari buruzko abenduaren 9ko 19/2013 Legea ere.</w:t>
      </w:r>
      <w:r>
        <w:rPr>
          <w:sz w:val="22"/>
          <w:rFonts w:ascii="Calibri" w:hAnsi="Calibri"/>
        </w:rPr>
        <w:t xml:space="preserve"> </w:t>
      </w:r>
      <w:r>
        <w:rPr>
          <w:sz w:val="22"/>
          <w:rFonts w:ascii="Calibri" w:hAnsi="Calibri"/>
        </w:rPr>
        <w:t xml:space="preserve">Zergadunek tributu-administrazioari ematen dizkioten datuen babesa babestu egin behar da, baldin eta haien intimitateari eragiten badiote.</w:t>
      </w:r>
    </w:p>
    <w:p w14:paraId="63CCC567" w14:textId="6E485514"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Beraz, Departamentuak arlo horretan izandako jokabidea gorabehera, ez dago inolako eragozpenik herritarren intimitateari eragiten ez dion tributu-informazioa emateko; esate baterako, eta besteak beste, honako kasu hauetan:</w:t>
      </w:r>
    </w:p>
    <w:p w14:paraId="41BDDF94" w14:textId="77777777"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a) Administrazio publikoaren tributu-jarduerari buruzko datuak.</w:t>
      </w:r>
    </w:p>
    <w:p w14:paraId="54CD02EE" w14:textId="3537F13D"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 Egiaztapen, ikuskapen, likidazio eta bilketako tributu-jarduketa eta -prozedurei buruzko informazio orokorra.</w:t>
      </w:r>
    </w:p>
    <w:p w14:paraId="25A546E2" w14:textId="30132DC1"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c) Egindako eginbideak eta agerraldiak, lortutako baimen judizialak, likidazioak, premiamendu-probidentziak eta igorritako enbargo-eginbideak.</w:t>
      </w:r>
    </w:p>
    <w:p w14:paraId="77C111D7" w14:textId="6B92BF6D"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d) Jasotako eta izapidetutako salaketei buruzko informazio orokorra; emandako salbuespenak, hobariak edo zerga-pizgarriak; kreditu kobraezinen aitorpena; hasitako zehapen-prozedurak eta ezarritako zehapenak; jasotako, baietsitako eta ezetsitako errekurtsoak eta erreklamazioak; iraungitako prozedurak; preskribatutako arau-hausteak eta zehapenak, eta abar.</w:t>
      </w:r>
    </w:p>
    <w:p w14:paraId="00DAB2C3" w14:textId="524EDE1D"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e) Ogasun Publikoarekiko zordunen zerrenda (izen-abizenak, sozietatearen izena, IFZ), ordaintzeke dauden zerga-zor eta -zehapenen zenbateko osoa 100.000 eurokoa denean.</w:t>
      </w:r>
    </w:p>
    <w:p w14:paraId="55866302" w14:textId="7DB7CD37"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Garrantzitsua da gogoratzea ezen, gastu publikoei eusten laguntzeko zergak ordaintzeko konstituzio-betebeharra daukagunez pertsona guztiok, bidezkoa dela informazioa lortzea Administrazioak zergen kudeaketan egiten duen jarduerari buruz.</w:t>
      </w:r>
    </w:p>
    <w:p w14:paraId="1F911F71" w14:textId="77777777"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Hori dena ikusita, honako hau galdetu nahi dut:</w:t>
      </w:r>
    </w:p>
    <w:p w14:paraId="5012EC80" w14:textId="714100D1" w:rsidR="00AE1E6F" w:rsidRPr="00AE1E6F" w:rsidRDefault="00AE1E6F" w:rsidP="00AE1E6F">
      <w:pPr>
        <w:pStyle w:val="Prrafodelista"/>
        <w:numPr>
          <w:ilvl w:val="0"/>
          <w:numId w:val="3"/>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BEZaren tributu-kudeaketako lanetan 2023ko ekitaldian ordaindu gabeko 100 milioi euro ordain ditzan eskatu zaion enpresaren izena zein da?</w:t>
      </w:r>
    </w:p>
    <w:p w14:paraId="0EFF47E2" w14:textId="0CFC1236" w:rsidR="00AE1E6F" w:rsidRPr="00AE1E6F" w:rsidRDefault="00AE1E6F" w:rsidP="00AE1E6F">
      <w:pPr>
        <w:pStyle w:val="Prrafodelista"/>
        <w:numPr>
          <w:ilvl w:val="0"/>
          <w:numId w:val="3"/>
        </w:num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Zein da 2023an egindako ikuskapen-lanen arabera delitu fiskala egin bide dituzten eta Fiskaltzaren edo justizia-auzitegien aitzinean salatutako pertsona fisiko edo juridikoen identifikazioa?</w:t>
      </w:r>
    </w:p>
    <w:p w14:paraId="727561B5" w14:textId="7A7D0474" w:rsidR="00AE1E6F" w:rsidRPr="00AE1E6F" w:rsidRDefault="00AE1E6F" w:rsidP="00AE1E6F">
      <w:pPr>
        <w:autoSpaceDE w:val="0"/>
        <w:autoSpaceDN w:val="0"/>
        <w:adjustRightInd w:val="0"/>
        <w:spacing w:before="100" w:beforeAutospacing="1" w:after="200" w:line="276" w:lineRule="auto"/>
        <w:jc w:val="both"/>
        <w:rPr>
          <w:kern w:val="0"/>
          <w:sz w:val="22"/>
          <w:szCs w:val="22"/>
          <w:rFonts w:ascii="Calibri" w:hAnsi="Calibri" w:cs="Calibri"/>
        </w:rPr>
      </w:pPr>
      <w:r>
        <w:rPr>
          <w:sz w:val="22"/>
          <w:rFonts w:ascii="Calibri" w:hAnsi="Calibri"/>
        </w:rPr>
        <w:t xml:space="preserve">Iruñean, 2024ko ekainaren 13an</w:t>
      </w:r>
    </w:p>
    <w:p w14:paraId="79E0EF7A" w14:textId="5E266C04" w:rsidR="00AE1E6F" w:rsidRPr="00AE1E6F" w:rsidRDefault="00AE1E6F" w:rsidP="00AE1E6F">
      <w:pPr>
        <w:spacing w:before="100" w:beforeAutospacing="1" w:after="200" w:line="276" w:lineRule="auto"/>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Adolfo Araiz Flamarique</w:t>
      </w:r>
    </w:p>
    <w:p w14:paraId="041641AB" w14:textId="77777777" w:rsidR="00AE1E6F" w:rsidRPr="00AE1E6F" w:rsidRDefault="00AE1E6F" w:rsidP="00AE1E6F">
      <w:pPr>
        <w:spacing w:before="100" w:beforeAutospacing="1" w:after="200" w:line="276" w:lineRule="auto"/>
        <w:jc w:val="both"/>
        <w:rPr>
          <w:rFonts w:ascii="Calibri" w:hAnsi="Calibri" w:cs="Calibri"/>
          <w:sz w:val="22"/>
          <w:szCs w:val="22"/>
        </w:rPr>
      </w:pPr>
    </w:p>
    <w:sectPr w:rsidR="00AE1E6F" w:rsidRPr="00AE1E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B6749"/>
    <w:multiLevelType w:val="hybridMultilevel"/>
    <w:tmpl w:val="CA4664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661A52"/>
    <w:multiLevelType w:val="hybridMultilevel"/>
    <w:tmpl w:val="C0981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6C701D"/>
    <w:multiLevelType w:val="hybridMultilevel"/>
    <w:tmpl w:val="4762CDA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88589015">
    <w:abstractNumId w:val="2"/>
  </w:num>
  <w:num w:numId="2" w16cid:durableId="2042364656">
    <w:abstractNumId w:val="0"/>
  </w:num>
  <w:num w:numId="3" w16cid:durableId="208682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6F"/>
    <w:rsid w:val="005762CC"/>
    <w:rsid w:val="005E45BC"/>
    <w:rsid w:val="008D7F85"/>
    <w:rsid w:val="00A36075"/>
    <w:rsid w:val="00AE1E6F"/>
    <w:rsid w:val="00E234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B848A"/>
  <w15:chartTrackingRefBased/>
  <w15:docId w15:val="{D1F18255-42FD-4FEE-AAEA-3AAD89F4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1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1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1E6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1E6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1E6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1E6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1E6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1E6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1E6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E6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E1E6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E1E6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E1E6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E1E6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E1E6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E1E6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E1E6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E1E6F"/>
    <w:rPr>
      <w:rFonts w:eastAsiaTheme="majorEastAsia" w:cstheme="majorBidi"/>
      <w:color w:val="272727" w:themeColor="text1" w:themeTint="D8"/>
    </w:rPr>
  </w:style>
  <w:style w:type="paragraph" w:styleId="Ttulo">
    <w:name w:val="Title"/>
    <w:basedOn w:val="Normal"/>
    <w:next w:val="Normal"/>
    <w:link w:val="TtuloCar"/>
    <w:uiPriority w:val="10"/>
    <w:qFormat/>
    <w:rsid w:val="00AE1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E1E6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E1E6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E1E6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1E6F"/>
    <w:pPr>
      <w:spacing w:before="160"/>
      <w:jc w:val="center"/>
    </w:pPr>
    <w:rPr>
      <w:i/>
      <w:iCs/>
      <w:color w:val="404040" w:themeColor="text1" w:themeTint="BF"/>
    </w:rPr>
  </w:style>
  <w:style w:type="character" w:customStyle="1" w:styleId="CitaCar">
    <w:name w:val="Cita Car"/>
    <w:basedOn w:val="Fuentedeprrafopredeter"/>
    <w:link w:val="Cita"/>
    <w:uiPriority w:val="29"/>
    <w:rsid w:val="00AE1E6F"/>
    <w:rPr>
      <w:i/>
      <w:iCs/>
      <w:color w:val="404040" w:themeColor="text1" w:themeTint="BF"/>
    </w:rPr>
  </w:style>
  <w:style w:type="paragraph" w:styleId="Prrafodelista">
    <w:name w:val="List Paragraph"/>
    <w:basedOn w:val="Normal"/>
    <w:uiPriority w:val="34"/>
    <w:qFormat/>
    <w:rsid w:val="00AE1E6F"/>
    <w:pPr>
      <w:ind w:left="720"/>
      <w:contextualSpacing/>
    </w:pPr>
  </w:style>
  <w:style w:type="character" w:styleId="nfasisintenso">
    <w:name w:val="Intense Emphasis"/>
    <w:basedOn w:val="Fuentedeprrafopredeter"/>
    <w:uiPriority w:val="21"/>
    <w:qFormat/>
    <w:rsid w:val="00AE1E6F"/>
    <w:rPr>
      <w:i/>
      <w:iCs/>
      <w:color w:val="0F4761" w:themeColor="accent1" w:themeShade="BF"/>
    </w:rPr>
  </w:style>
  <w:style w:type="paragraph" w:styleId="Citadestacada">
    <w:name w:val="Intense Quote"/>
    <w:basedOn w:val="Normal"/>
    <w:next w:val="Normal"/>
    <w:link w:val="CitadestacadaCar"/>
    <w:uiPriority w:val="30"/>
    <w:qFormat/>
    <w:rsid w:val="00AE1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E1E6F"/>
    <w:rPr>
      <w:i/>
      <w:iCs/>
      <w:color w:val="0F4761" w:themeColor="accent1" w:themeShade="BF"/>
    </w:rPr>
  </w:style>
  <w:style w:type="character" w:styleId="Referenciaintensa">
    <w:name w:val="Intense Reference"/>
    <w:basedOn w:val="Fuentedeprrafopredeter"/>
    <w:uiPriority w:val="32"/>
    <w:qFormat/>
    <w:rsid w:val="00AE1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793</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2024-06-14T06:43:00Z</dcterms:created>
  <dcterms:modified xsi:type="dcterms:W3CDTF">2024-06-14T06:54:00Z</dcterms:modified>
</cp:coreProperties>
</file>