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F3560" w14:textId="4D7826D6" w:rsidR="00301EBE" w:rsidRDefault="00301EBE" w:rsidP="00FE00DF">
      <w:pPr>
        <w:spacing w:line="360" w:lineRule="auto"/>
        <w:rPr>
          <w:rFonts w:ascii="Arial" w:hAnsi="Arial" w:cs="Arial"/>
        </w:rPr>
      </w:pPr>
      <w:r>
        <w:rPr>
          <w:rFonts w:ascii="Arial" w:hAnsi="Arial"/>
        </w:rPr>
        <w:t xml:space="preserve">Ekainaren 12a</w:t>
      </w:r>
    </w:p>
    <w:p w14:paraId="394AB40D" w14:textId="69B74A59" w:rsidR="00A96B8A" w:rsidRDefault="00A96B8A" w:rsidP="00946829">
      <w:pPr>
        <w:spacing w:line="360" w:lineRule="auto"/>
        <w:rPr>
          <w:rFonts w:ascii="Arial" w:hAnsi="Arial" w:cs="Arial"/>
        </w:rPr>
      </w:pPr>
      <w:r>
        <w:rPr>
          <w:rFonts w:ascii="Arial" w:hAnsi="Arial"/>
        </w:rPr>
        <w:t xml:space="preserve">Alderdi Popularrari atxikitako foru parlamentari Javier García Jiménez jaunak 11-24/PES-00246 idatzizko galdera egin du. Hona hemen Hezkuntzako kontseilariak horri buruz ematen dion informazioa:</w:t>
      </w:r>
    </w:p>
    <w:p w14:paraId="05145597" w14:textId="3CCA55CF" w:rsidR="00946829" w:rsidRPr="00946829" w:rsidRDefault="00946829" w:rsidP="00946829">
      <w:pPr>
        <w:spacing w:line="360" w:lineRule="auto"/>
        <w:rPr>
          <w:rFonts w:ascii="Arial" w:hAnsi="Arial" w:cs="Arial"/>
        </w:rPr>
      </w:pPr>
      <w:r>
        <w:rPr>
          <w:rFonts w:ascii="Arial" w:hAnsi="Arial"/>
        </w:rPr>
        <w:t xml:space="preserve">Hezkuntzari buruzko maiatzaren 3ko 2/2006 Lege Organikoak esaten du etengabeko prestakuntza irakasle guztien eskubidea eta betebeharra dela, eta hezkuntza administrazioen eta ikastetxeen ardura.</w:t>
      </w:r>
      <w:r>
        <w:rPr>
          <w:rFonts w:ascii="Arial" w:hAnsi="Arial"/>
        </w:rPr>
        <w:t xml:space="preserve"> </w:t>
      </w:r>
      <w:r>
        <w:rPr>
          <w:rFonts w:ascii="Arial" w:hAnsi="Arial"/>
        </w:rPr>
        <w:t xml:space="preserve">Halaber, Europar Batasunaren gomendioekin bat, helburu gisa ezartzen du hezkuntza sistemaren kalitatea eta eraginkortasuna hobetzea.</w:t>
      </w:r>
      <w:r>
        <w:rPr>
          <w:rFonts w:ascii="Arial" w:hAnsi="Arial"/>
        </w:rPr>
        <w:t xml:space="preserve"> </w:t>
      </w:r>
      <w:r>
        <w:rPr>
          <w:rFonts w:ascii="Arial" w:hAnsi="Arial"/>
        </w:rPr>
        <w:t xml:space="preserve">Irakasleen etengabeko prestakuntza funtsezko tresna da helburu hori lortu ahal izateko, ezagutzaren gizartean sortzen diren hezkuntza premia berriei erantzutea ahalbidetzen baitu.</w:t>
      </w:r>
    </w:p>
    <w:p w14:paraId="78243E78" w14:textId="77777777" w:rsidR="00946829" w:rsidRPr="00946829" w:rsidRDefault="00946829" w:rsidP="00946829">
      <w:pPr>
        <w:spacing w:line="360" w:lineRule="auto"/>
        <w:rPr>
          <w:rFonts w:ascii="Arial" w:hAnsi="Arial" w:cs="Arial"/>
        </w:rPr>
      </w:pPr>
      <w:r>
        <w:rPr>
          <w:rFonts w:ascii="Arial" w:hAnsi="Arial"/>
        </w:rPr>
        <w:t xml:space="preserve">Hezkuntza eta Kulturako kontseilariaren ekainaren 25eko 247/1997 Foru Dekretuak (horren bidez, unitate teknikoak atxikitzen zaizkio Irakasleen hobekuntzako atalari, haren eginkizunak finkatzen dira, eta Irakasleentzako Laguntza Zentroak (ILZ) sortzen dira, beren eragin eremuak esleituta) bosgarren artikuluan jasotzen du irakasleentzako laguntza zentroak sortuko direla Lizarran, Lekarozen, Iruñean, Tafallan eta Tuteran.</w:t>
      </w:r>
    </w:p>
    <w:p w14:paraId="3523741F" w14:textId="217D7FC6" w:rsidR="00946829" w:rsidRDefault="00946829" w:rsidP="00946829">
      <w:pPr>
        <w:spacing w:line="360" w:lineRule="auto"/>
        <w:rPr>
          <w:rFonts w:ascii="Arial" w:hAnsi="Arial" w:cs="Arial"/>
        </w:rPr>
      </w:pPr>
      <w:r>
        <w:rPr>
          <w:rFonts w:ascii="Arial" w:hAnsi="Arial"/>
        </w:rPr>
        <w:t xml:space="preserve">Honako hauek osatzen dute prestakuntza sarea Irakasleentzako Laguntza Zentroetako (ILZ) zuzendaritza eta aholkularitzekin:</w:t>
      </w:r>
    </w:p>
    <w:tbl>
      <w:tblPr>
        <w:tblStyle w:val="TableNormal"/>
        <w:tblW w:w="0" w:type="auto"/>
        <w:tblInd w:w="1555" w:type="dxa"/>
        <w:tblLayout w:type="fixed"/>
        <w:tblLook w:val="01E0" w:firstRow="1" w:lastRow="1" w:firstColumn="1" w:lastColumn="1" w:noHBand="0" w:noVBand="0"/>
      </w:tblPr>
      <w:tblGrid>
        <w:gridCol w:w="1322"/>
        <w:gridCol w:w="2500"/>
      </w:tblGrid>
      <w:tr w:rsidR="00946829" w:rsidRPr="00946829" w14:paraId="24E88D40" w14:textId="77777777" w:rsidTr="00A96B8A">
        <w:trPr>
          <w:trHeight w:hRule="exact" w:val="445"/>
        </w:trPr>
        <w:tc>
          <w:tcPr>
            <w:tcW w:w="1322" w:type="dxa"/>
            <w:tcBorders>
              <w:top w:val="single" w:sz="4" w:space="0" w:color="000000"/>
              <w:left w:val="single" w:sz="4" w:space="0" w:color="000000"/>
              <w:bottom w:val="single" w:sz="4" w:space="0" w:color="000000"/>
              <w:right w:val="single" w:sz="4" w:space="0" w:color="000000"/>
            </w:tcBorders>
            <w:shd w:val="clear" w:color="auto" w:fill="D9D9D9"/>
          </w:tcPr>
          <w:p w14:paraId="489B578F" w14:textId="77777777" w:rsidR="00946829" w:rsidRPr="00946829" w:rsidRDefault="00946829" w:rsidP="00946829">
            <w:pPr>
              <w:spacing w:before="102"/>
              <w:jc w:val="center"/>
              <w:rPr>
                <w:sz w:val="18"/>
                <w:szCs w:val="18"/>
                <w:rFonts w:ascii="Arial" w:eastAsia="Arial" w:hAnsi="Arial" w:cs="Arial"/>
              </w:rPr>
            </w:pPr>
            <w:r>
              <w:rPr>
                <w:b/>
                <w:sz w:val="18"/>
                <w:rFonts w:ascii="Arial" w:hAnsi="Calibri"/>
              </w:rPr>
              <w:t xml:space="preserve">ILZ</w:t>
            </w:r>
          </w:p>
        </w:tc>
        <w:tc>
          <w:tcPr>
            <w:tcW w:w="2500" w:type="dxa"/>
            <w:tcBorders>
              <w:top w:val="single" w:sz="4" w:space="0" w:color="000000"/>
              <w:left w:val="single" w:sz="4" w:space="0" w:color="000000"/>
              <w:bottom w:val="single" w:sz="4" w:space="0" w:color="000000"/>
              <w:right w:val="single" w:sz="4" w:space="0" w:color="000000"/>
            </w:tcBorders>
            <w:shd w:val="clear" w:color="auto" w:fill="D9D9D9"/>
          </w:tcPr>
          <w:p w14:paraId="0A7AD275" w14:textId="77777777" w:rsidR="00946829" w:rsidRPr="00946829" w:rsidRDefault="00946829" w:rsidP="00946829">
            <w:pPr>
              <w:spacing w:before="102"/>
              <w:ind w:left="564"/>
              <w:rPr>
                <w:sz w:val="18"/>
                <w:szCs w:val="18"/>
                <w:rFonts w:ascii="Arial" w:eastAsia="Arial" w:hAnsi="Arial" w:cs="Arial"/>
              </w:rPr>
            </w:pPr>
            <w:r>
              <w:rPr>
                <w:b/>
                <w:sz w:val="18"/>
                <w:rFonts w:ascii="Arial" w:hAnsi="Calibri"/>
              </w:rPr>
              <w:t xml:space="preserve">ILZko langileak</w:t>
            </w:r>
          </w:p>
        </w:tc>
      </w:tr>
      <w:tr w:rsidR="00946829" w:rsidRPr="00946829" w14:paraId="292F552C" w14:textId="77777777" w:rsidTr="00A96B8A">
        <w:trPr>
          <w:trHeight w:hRule="exact" w:val="349"/>
        </w:trPr>
        <w:tc>
          <w:tcPr>
            <w:tcW w:w="1322" w:type="dxa"/>
            <w:tcBorders>
              <w:top w:val="single" w:sz="4" w:space="0" w:color="000000"/>
              <w:left w:val="single" w:sz="4" w:space="0" w:color="000000"/>
              <w:bottom w:val="single" w:sz="4" w:space="0" w:color="000000"/>
              <w:right w:val="single" w:sz="4" w:space="0" w:color="000000"/>
            </w:tcBorders>
          </w:tcPr>
          <w:p w14:paraId="087F9351" w14:textId="77777777" w:rsidR="00946829" w:rsidRPr="00946829" w:rsidRDefault="00946829" w:rsidP="00946829">
            <w:pPr>
              <w:spacing w:before="54"/>
              <w:ind w:left="87"/>
              <w:rPr>
                <w:sz w:val="18"/>
                <w:szCs w:val="18"/>
                <w:rFonts w:ascii="Arial" w:eastAsia="Arial" w:hAnsi="Arial" w:cs="Arial"/>
              </w:rPr>
            </w:pPr>
            <w:r>
              <w:rPr>
                <w:sz w:val="18"/>
                <w:rFonts w:ascii="Arial" w:hAnsi="Calibri"/>
              </w:rPr>
              <w:t xml:space="preserve">Lizarra</w:t>
            </w:r>
          </w:p>
        </w:tc>
        <w:tc>
          <w:tcPr>
            <w:tcW w:w="2500" w:type="dxa"/>
            <w:tcBorders>
              <w:top w:val="single" w:sz="4" w:space="0" w:color="000000"/>
              <w:left w:val="single" w:sz="4" w:space="0" w:color="000000"/>
              <w:bottom w:val="single" w:sz="4" w:space="0" w:color="000000"/>
              <w:right w:val="single" w:sz="4" w:space="0" w:color="000000"/>
            </w:tcBorders>
          </w:tcPr>
          <w:p w14:paraId="21432D58" w14:textId="77777777" w:rsidR="00946829" w:rsidRPr="00946829" w:rsidRDefault="00946829" w:rsidP="00946829">
            <w:pPr>
              <w:spacing w:before="54"/>
              <w:jc w:val="center"/>
              <w:rPr>
                <w:sz w:val="18"/>
                <w:szCs w:val="18"/>
                <w:rFonts w:ascii="Arial" w:eastAsia="Arial" w:hAnsi="Arial" w:cs="Arial"/>
              </w:rPr>
            </w:pPr>
            <w:r>
              <w:rPr>
                <w:sz w:val="18"/>
                <w:rFonts w:ascii="Arial" w:hAnsi="Calibri"/>
              </w:rPr>
              <w:t xml:space="preserve">3</w:t>
            </w:r>
          </w:p>
        </w:tc>
      </w:tr>
      <w:tr w:rsidR="00946829" w:rsidRPr="00946829" w14:paraId="75A7DCBD" w14:textId="77777777" w:rsidTr="00A96B8A">
        <w:trPr>
          <w:trHeight w:hRule="exact" w:val="348"/>
        </w:trPr>
        <w:tc>
          <w:tcPr>
            <w:tcW w:w="1322" w:type="dxa"/>
            <w:tcBorders>
              <w:top w:val="single" w:sz="4" w:space="0" w:color="000000"/>
              <w:left w:val="single" w:sz="4" w:space="0" w:color="000000"/>
              <w:bottom w:val="single" w:sz="4" w:space="0" w:color="000000"/>
              <w:right w:val="single" w:sz="4" w:space="0" w:color="000000"/>
            </w:tcBorders>
          </w:tcPr>
          <w:p w14:paraId="17E34869" w14:textId="77777777" w:rsidR="00946829" w:rsidRPr="00946829" w:rsidRDefault="00946829" w:rsidP="00946829">
            <w:pPr>
              <w:spacing w:before="54"/>
              <w:ind w:left="87"/>
              <w:rPr>
                <w:sz w:val="18"/>
                <w:szCs w:val="18"/>
                <w:rFonts w:ascii="Arial" w:eastAsia="Arial" w:hAnsi="Arial" w:cs="Arial"/>
              </w:rPr>
            </w:pPr>
            <w:r>
              <w:rPr>
                <w:sz w:val="18"/>
                <w:rFonts w:ascii="Arial" w:hAnsi="Calibri"/>
              </w:rPr>
              <w:t xml:space="preserve">Lekaroz</w:t>
            </w:r>
          </w:p>
        </w:tc>
        <w:tc>
          <w:tcPr>
            <w:tcW w:w="2500" w:type="dxa"/>
            <w:tcBorders>
              <w:top w:val="single" w:sz="4" w:space="0" w:color="000000"/>
              <w:left w:val="single" w:sz="4" w:space="0" w:color="000000"/>
              <w:bottom w:val="single" w:sz="4" w:space="0" w:color="000000"/>
              <w:right w:val="single" w:sz="4" w:space="0" w:color="000000"/>
            </w:tcBorders>
          </w:tcPr>
          <w:p w14:paraId="055DAC4E" w14:textId="77777777" w:rsidR="00946829" w:rsidRPr="00946829" w:rsidRDefault="00946829" w:rsidP="00946829">
            <w:pPr>
              <w:spacing w:before="54"/>
              <w:jc w:val="center"/>
              <w:rPr>
                <w:sz w:val="18"/>
                <w:szCs w:val="18"/>
                <w:rFonts w:ascii="Arial" w:eastAsia="Arial" w:hAnsi="Arial" w:cs="Arial"/>
              </w:rPr>
            </w:pPr>
            <w:r>
              <w:rPr>
                <w:sz w:val="18"/>
                <w:rFonts w:ascii="Arial" w:hAnsi="Calibri"/>
              </w:rPr>
              <w:t xml:space="preserve">2</w:t>
            </w:r>
          </w:p>
        </w:tc>
      </w:tr>
      <w:tr w:rsidR="00946829" w:rsidRPr="00946829" w14:paraId="7A892237" w14:textId="77777777" w:rsidTr="00A96B8A">
        <w:trPr>
          <w:trHeight w:hRule="exact" w:val="349"/>
        </w:trPr>
        <w:tc>
          <w:tcPr>
            <w:tcW w:w="1322" w:type="dxa"/>
            <w:tcBorders>
              <w:top w:val="single" w:sz="4" w:space="0" w:color="000000"/>
              <w:left w:val="single" w:sz="4" w:space="0" w:color="000000"/>
              <w:bottom w:val="single" w:sz="4" w:space="0" w:color="000000"/>
              <w:right w:val="single" w:sz="4" w:space="0" w:color="000000"/>
            </w:tcBorders>
          </w:tcPr>
          <w:p w14:paraId="43CC2589" w14:textId="77777777" w:rsidR="00946829" w:rsidRPr="00946829" w:rsidRDefault="00946829" w:rsidP="00946829">
            <w:pPr>
              <w:spacing w:before="56"/>
              <w:ind w:left="87"/>
              <w:rPr>
                <w:sz w:val="18"/>
                <w:szCs w:val="18"/>
                <w:rFonts w:ascii="Arial" w:eastAsia="Arial" w:hAnsi="Arial" w:cs="Arial"/>
              </w:rPr>
            </w:pPr>
            <w:r>
              <w:rPr>
                <w:sz w:val="18"/>
                <w:rFonts w:ascii="Arial" w:hAnsi="Calibri"/>
              </w:rPr>
              <w:t xml:space="preserve">Iruña</w:t>
            </w:r>
          </w:p>
        </w:tc>
        <w:tc>
          <w:tcPr>
            <w:tcW w:w="2500" w:type="dxa"/>
            <w:tcBorders>
              <w:top w:val="single" w:sz="4" w:space="0" w:color="000000"/>
              <w:left w:val="single" w:sz="4" w:space="0" w:color="000000"/>
              <w:bottom w:val="single" w:sz="4" w:space="0" w:color="000000"/>
              <w:right w:val="single" w:sz="4" w:space="0" w:color="000000"/>
            </w:tcBorders>
          </w:tcPr>
          <w:p w14:paraId="09C8E1BF" w14:textId="77777777" w:rsidR="00946829" w:rsidRPr="00946829" w:rsidRDefault="00946829" w:rsidP="00946829">
            <w:pPr>
              <w:spacing w:before="56"/>
              <w:jc w:val="center"/>
              <w:rPr>
                <w:sz w:val="18"/>
                <w:szCs w:val="18"/>
                <w:rFonts w:ascii="Arial" w:eastAsia="Arial" w:hAnsi="Arial" w:cs="Arial"/>
              </w:rPr>
            </w:pPr>
            <w:r>
              <w:rPr>
                <w:sz w:val="18"/>
                <w:rFonts w:ascii="Arial" w:hAnsi="Calibri"/>
              </w:rPr>
              <w:t xml:space="preserve">16</w:t>
            </w:r>
          </w:p>
        </w:tc>
      </w:tr>
      <w:tr w:rsidR="00946829" w:rsidRPr="00946829" w14:paraId="6671D48A" w14:textId="77777777" w:rsidTr="00A96B8A">
        <w:trPr>
          <w:trHeight w:hRule="exact" w:val="347"/>
        </w:trPr>
        <w:tc>
          <w:tcPr>
            <w:tcW w:w="1322" w:type="dxa"/>
            <w:tcBorders>
              <w:top w:val="single" w:sz="4" w:space="0" w:color="000000"/>
              <w:left w:val="single" w:sz="4" w:space="0" w:color="000000"/>
              <w:bottom w:val="single" w:sz="4" w:space="0" w:color="000000"/>
              <w:right w:val="single" w:sz="4" w:space="0" w:color="000000"/>
            </w:tcBorders>
          </w:tcPr>
          <w:p w14:paraId="79F2A345" w14:textId="77777777" w:rsidR="00946829" w:rsidRPr="00946829" w:rsidRDefault="00946829" w:rsidP="00946829">
            <w:pPr>
              <w:spacing w:before="54"/>
              <w:ind w:left="87"/>
              <w:rPr>
                <w:sz w:val="18"/>
                <w:szCs w:val="18"/>
                <w:rFonts w:ascii="Arial" w:eastAsia="Arial" w:hAnsi="Arial" w:cs="Arial"/>
              </w:rPr>
            </w:pPr>
            <w:r>
              <w:rPr>
                <w:sz w:val="18"/>
                <w:rFonts w:ascii="Arial" w:hAnsi="Calibri"/>
              </w:rPr>
              <w:t xml:space="preserve">Tafalla</w:t>
            </w:r>
          </w:p>
        </w:tc>
        <w:tc>
          <w:tcPr>
            <w:tcW w:w="2500" w:type="dxa"/>
            <w:tcBorders>
              <w:top w:val="single" w:sz="4" w:space="0" w:color="000000"/>
              <w:left w:val="single" w:sz="4" w:space="0" w:color="000000"/>
              <w:bottom w:val="single" w:sz="4" w:space="0" w:color="000000"/>
              <w:right w:val="single" w:sz="4" w:space="0" w:color="000000"/>
            </w:tcBorders>
          </w:tcPr>
          <w:p w14:paraId="6C6E81AE" w14:textId="77777777" w:rsidR="00946829" w:rsidRPr="00946829" w:rsidRDefault="00946829" w:rsidP="00946829">
            <w:pPr>
              <w:spacing w:before="54"/>
              <w:jc w:val="center"/>
              <w:rPr>
                <w:sz w:val="18"/>
                <w:szCs w:val="18"/>
                <w:rFonts w:ascii="Arial" w:eastAsia="Arial" w:hAnsi="Arial" w:cs="Arial"/>
              </w:rPr>
            </w:pPr>
            <w:r>
              <w:rPr>
                <w:sz w:val="18"/>
                <w:rFonts w:ascii="Arial" w:hAnsi="Calibri"/>
              </w:rPr>
              <w:t xml:space="preserve">3</w:t>
            </w:r>
          </w:p>
        </w:tc>
      </w:tr>
      <w:tr w:rsidR="00946829" w:rsidRPr="00946829" w14:paraId="1CF99C22" w14:textId="77777777" w:rsidTr="00A96B8A">
        <w:trPr>
          <w:trHeight w:hRule="exact" w:val="349"/>
        </w:trPr>
        <w:tc>
          <w:tcPr>
            <w:tcW w:w="1322" w:type="dxa"/>
            <w:tcBorders>
              <w:top w:val="single" w:sz="4" w:space="0" w:color="000000"/>
              <w:left w:val="single" w:sz="4" w:space="0" w:color="000000"/>
              <w:bottom w:val="single" w:sz="4" w:space="0" w:color="000000"/>
              <w:right w:val="single" w:sz="4" w:space="0" w:color="000000"/>
            </w:tcBorders>
          </w:tcPr>
          <w:p w14:paraId="37F3945D" w14:textId="77777777" w:rsidR="00946829" w:rsidRPr="00946829" w:rsidRDefault="00946829" w:rsidP="00946829">
            <w:pPr>
              <w:spacing w:before="56"/>
              <w:ind w:left="87"/>
              <w:rPr>
                <w:sz w:val="18"/>
                <w:szCs w:val="18"/>
                <w:rFonts w:ascii="Arial" w:eastAsia="Arial" w:hAnsi="Arial" w:cs="Arial"/>
              </w:rPr>
            </w:pPr>
            <w:r>
              <w:rPr>
                <w:sz w:val="18"/>
                <w:rFonts w:ascii="Arial" w:hAnsi="Calibri"/>
              </w:rPr>
              <w:t xml:space="preserve">Tutera</w:t>
            </w:r>
          </w:p>
        </w:tc>
        <w:tc>
          <w:tcPr>
            <w:tcW w:w="2500" w:type="dxa"/>
            <w:tcBorders>
              <w:top w:val="single" w:sz="4" w:space="0" w:color="000000"/>
              <w:left w:val="single" w:sz="4" w:space="0" w:color="000000"/>
              <w:bottom w:val="single" w:sz="4" w:space="0" w:color="000000"/>
              <w:right w:val="single" w:sz="4" w:space="0" w:color="000000"/>
            </w:tcBorders>
          </w:tcPr>
          <w:p w14:paraId="168F92A6" w14:textId="77777777" w:rsidR="00946829" w:rsidRPr="00946829" w:rsidRDefault="00946829" w:rsidP="00946829">
            <w:pPr>
              <w:spacing w:before="56"/>
              <w:jc w:val="center"/>
              <w:rPr>
                <w:sz w:val="18"/>
                <w:szCs w:val="18"/>
                <w:rFonts w:ascii="Arial" w:eastAsia="Arial" w:hAnsi="Arial" w:cs="Arial"/>
              </w:rPr>
            </w:pPr>
            <w:r>
              <w:rPr>
                <w:sz w:val="18"/>
                <w:rFonts w:ascii="Arial" w:hAnsi="Calibri"/>
              </w:rPr>
              <w:t xml:space="preserve">4</w:t>
            </w:r>
          </w:p>
        </w:tc>
      </w:tr>
      <w:tr w:rsidR="00946829" w:rsidRPr="00946829" w14:paraId="0D9AAC0D" w14:textId="77777777" w:rsidTr="00A96B8A">
        <w:trPr>
          <w:trHeight w:hRule="exact" w:val="349"/>
        </w:trPr>
        <w:tc>
          <w:tcPr>
            <w:tcW w:w="1322" w:type="dxa"/>
            <w:tcBorders>
              <w:top w:val="single" w:sz="4" w:space="0" w:color="000000"/>
              <w:left w:val="single" w:sz="4" w:space="0" w:color="000000"/>
              <w:bottom w:val="single" w:sz="4" w:space="0" w:color="000000"/>
              <w:right w:val="single" w:sz="4" w:space="0" w:color="000000"/>
            </w:tcBorders>
          </w:tcPr>
          <w:p w14:paraId="2EE7962D" w14:textId="77777777" w:rsidR="00946829" w:rsidRPr="00946829" w:rsidRDefault="00946829" w:rsidP="00946829">
            <w:pPr>
              <w:spacing w:before="54"/>
              <w:ind w:left="87"/>
              <w:rPr>
                <w:sz w:val="18"/>
                <w:szCs w:val="18"/>
                <w:rFonts w:ascii="Arial" w:eastAsia="Arial" w:hAnsi="Arial" w:cs="Arial"/>
              </w:rPr>
            </w:pPr>
            <w:r>
              <w:rPr>
                <w:b/>
                <w:sz w:val="18"/>
                <w:rFonts w:ascii="Arial" w:hAnsi="Calibri"/>
              </w:rPr>
              <w:t xml:space="preserve">Guztira</w:t>
            </w:r>
          </w:p>
        </w:tc>
        <w:tc>
          <w:tcPr>
            <w:tcW w:w="2500" w:type="dxa"/>
            <w:tcBorders>
              <w:top w:val="single" w:sz="4" w:space="0" w:color="000000"/>
              <w:left w:val="single" w:sz="4" w:space="0" w:color="000000"/>
              <w:bottom w:val="single" w:sz="4" w:space="0" w:color="000000"/>
              <w:right w:val="single" w:sz="4" w:space="0" w:color="000000"/>
            </w:tcBorders>
          </w:tcPr>
          <w:p w14:paraId="0578FD50" w14:textId="77777777" w:rsidR="00946829" w:rsidRPr="00946829" w:rsidRDefault="00946829" w:rsidP="00946829">
            <w:pPr>
              <w:spacing w:before="54"/>
              <w:jc w:val="center"/>
              <w:rPr>
                <w:sz w:val="18"/>
                <w:szCs w:val="18"/>
                <w:rFonts w:ascii="Arial" w:eastAsia="Arial" w:hAnsi="Arial" w:cs="Arial"/>
              </w:rPr>
            </w:pPr>
            <w:r>
              <w:rPr>
                <w:sz w:val="18"/>
                <w:rFonts w:ascii="Arial" w:hAnsi="Calibri"/>
              </w:rPr>
              <w:t xml:space="preserve">28</w:t>
            </w:r>
          </w:p>
        </w:tc>
      </w:tr>
    </w:tbl>
    <w:p w14:paraId="7BF9E6FF" w14:textId="77777777" w:rsidR="00946829" w:rsidRDefault="00946829" w:rsidP="00946829">
      <w:pPr>
        <w:spacing w:line="360" w:lineRule="auto"/>
        <w:rPr>
          <w:rFonts w:ascii="Arial" w:hAnsi="Arial" w:cs="Arial"/>
          <w:lang w:val="es-ES"/>
        </w:rPr>
      </w:pPr>
    </w:p>
    <w:p w14:paraId="7770B6AD" w14:textId="77777777" w:rsidR="00946829" w:rsidRPr="00946829" w:rsidRDefault="00946829" w:rsidP="00946829">
      <w:pPr>
        <w:spacing w:line="360" w:lineRule="auto"/>
        <w:rPr>
          <w:rFonts w:ascii="Arial" w:hAnsi="Arial" w:cs="Arial"/>
        </w:rPr>
      </w:pPr>
      <w:r>
        <w:rPr>
          <w:rFonts w:ascii="Arial" w:hAnsi="Arial"/>
        </w:rPr>
        <w:t xml:space="preserve">Ikastetxe bakoitza irakasleentzako laguntza zentro (ILZ) batera atxikita dago eta erreferentziazko aholkulari bat du.</w:t>
      </w:r>
      <w:r>
        <w:rPr>
          <w:rFonts w:ascii="Arial" w:hAnsi="Arial"/>
        </w:rPr>
        <w:t xml:space="preserve"> </w:t>
      </w:r>
      <w:r>
        <w:rPr>
          <w:rFonts w:ascii="Arial" w:hAnsi="Arial"/>
        </w:rPr>
        <w:t xml:space="preserve">Prestakuntzako premiak detektatzeko prozesua gauzatzeko, zentroko aholkulariak elkarrizketa bat izaten du zuzendaritza taldearekin, eta galdetegi bat bidaltzen da irakasleen prestakuntza premiak detektatzeko.</w:t>
      </w:r>
    </w:p>
    <w:p w14:paraId="3A1CF519" w14:textId="77777777" w:rsidR="00946829" w:rsidRPr="00946829" w:rsidRDefault="00946829" w:rsidP="00946829">
      <w:pPr>
        <w:spacing w:line="360" w:lineRule="auto"/>
        <w:rPr>
          <w:rFonts w:ascii="Arial" w:hAnsi="Arial" w:cs="Arial"/>
        </w:rPr>
      </w:pPr>
      <w:r>
        <w:rPr>
          <w:rFonts w:ascii="Arial" w:hAnsi="Arial"/>
        </w:rPr>
        <w:t xml:space="preserve">Ildo horretatik, Ikastetxearen Prestakuntza Instituzionaleko Plan bat ezarriko dute ikastetxeek, zuzendaritza taldeak egina kontuan hartuta nola Hezkuntza Departamentuak berak proposatutako lehentasunezko ildo, plan eta proiektuetatik eratorritako prestakuntzako premiak eta ikastetxeetako irakasle taldeen eta klaustroen lanetik eratorritakoak hala irakasleentzako laguntza zentroek premiak detektatzeko egindako prozesuan detektatutako prestakuntza premiak.</w:t>
      </w:r>
    </w:p>
    <w:p w14:paraId="03F38971" w14:textId="0EF487B1" w:rsidR="00946829" w:rsidRPr="00946829" w:rsidRDefault="00946829" w:rsidP="00946829">
      <w:pPr>
        <w:spacing w:line="360" w:lineRule="auto"/>
        <w:rPr>
          <w:rFonts w:ascii="Arial" w:hAnsi="Arial" w:cs="Arial"/>
        </w:rPr>
      </w:pPr>
      <w:r>
        <w:rPr>
          <w:rFonts w:ascii="Arial" w:hAnsi="Arial"/>
        </w:rPr>
        <w:t xml:space="preserve">Behin Hezkuntza Departamentuaren, ikastetxeen eta irakasleentzako laguntza zentroen planen eta programen prestakuntza premiak bildu ondoren, irakasleentzako laguntza zentroek (ILZ), Hezkuntza Departamentuaren Prestakuntza eta Kalitate Atalarekin batera, Irakasleen Prestakuntzaren Urteko Plana egiten dute.</w:t>
      </w:r>
    </w:p>
    <w:p w14:paraId="30EC60DC" w14:textId="77777777" w:rsidR="00946829" w:rsidRPr="00946829" w:rsidRDefault="00946829" w:rsidP="00946829">
      <w:pPr>
        <w:spacing w:line="360" w:lineRule="auto"/>
        <w:rPr>
          <w:rFonts w:ascii="Arial" w:hAnsi="Arial" w:cs="Arial"/>
        </w:rPr>
      </w:pPr>
      <w:r>
        <w:rPr>
          <w:rFonts w:ascii="Arial" w:hAnsi="Arial"/>
        </w:rPr>
        <w:t xml:space="preserve">Irakasleen Prestakuntza Planaren helburu nagusia da Nafarroako hezkuntza sistemaren kalitatea hobetzea, ikastetxeek antzemandako beharrei erantzunez eta irakaskuntzako gaitasunen garapena sustatuz.</w:t>
      </w:r>
      <w:r>
        <w:rPr>
          <w:rFonts w:ascii="Arial" w:hAnsi="Arial"/>
        </w:rPr>
        <w:t xml:space="preserve"> </w:t>
      </w:r>
      <w:r>
        <w:rPr>
          <w:rFonts w:ascii="Arial" w:hAnsi="Arial"/>
        </w:rPr>
        <w:t xml:space="preserve">Hori guztia ondoren zehazten diren sei jarduketa ildo estrategikoen bidez egituratzen da:</w:t>
      </w:r>
    </w:p>
    <w:p w14:paraId="774CA339" w14:textId="4D1B6ED7" w:rsidR="00946829" w:rsidRPr="00946829" w:rsidRDefault="00946829" w:rsidP="00946829">
      <w:pPr>
        <w:spacing w:line="360" w:lineRule="auto"/>
        <w:rPr>
          <w:rFonts w:ascii="Arial" w:hAnsi="Arial" w:cs="Arial"/>
        </w:rPr>
      </w:pPr>
      <w:r>
        <w:rPr>
          <w:rFonts w:ascii="Arial" w:hAnsi="Arial"/>
        </w:rPr>
        <w:t xml:space="preserve">•</w:t>
      </w:r>
      <w:r>
        <w:rPr>
          <w:rFonts w:ascii="Arial" w:hAnsi="Arial"/>
        </w:rPr>
        <w:tab/>
      </w:r>
      <w:r>
        <w:rPr>
          <w:rFonts w:ascii="Arial" w:hAnsi="Arial"/>
        </w:rPr>
        <w:t xml:space="preserve">1. ildoa.</w:t>
      </w:r>
      <w:r>
        <w:rPr>
          <w:rFonts w:ascii="Arial" w:hAnsi="Arial"/>
        </w:rPr>
        <w:t xml:space="preserve"> </w:t>
      </w:r>
      <w:r>
        <w:rPr>
          <w:rFonts w:ascii="Arial" w:hAnsi="Arial"/>
        </w:rPr>
        <w:t xml:space="preserve">Ikasleek aktiboki eta lankidetzan ikastea sustatzen duten metodologiak ezartzea, erritmo, estilo eta premia ezberdinei erantzuteko balio dutenak eta gaitasunen ikuspegi inklusibo batetik abiaturik.</w:t>
      </w:r>
    </w:p>
    <w:p w14:paraId="0EC08839" w14:textId="77777777" w:rsidR="00A96B8A" w:rsidRDefault="00946829" w:rsidP="00946829">
      <w:pPr>
        <w:spacing w:line="360" w:lineRule="auto"/>
        <w:rPr>
          <w:rFonts w:ascii="Arial" w:hAnsi="Arial" w:cs="Arial"/>
        </w:rPr>
      </w:pPr>
      <w:r>
        <w:rPr>
          <w:rFonts w:ascii="Arial" w:hAnsi="Arial"/>
        </w:rPr>
        <w:t xml:space="preserve">•</w:t>
      </w:r>
      <w:r>
        <w:rPr>
          <w:rFonts w:ascii="Arial" w:hAnsi="Arial"/>
        </w:rPr>
        <w:tab/>
      </w:r>
      <w:r>
        <w:rPr>
          <w:rFonts w:ascii="Arial" w:hAnsi="Arial"/>
        </w:rPr>
        <w:t xml:space="preserve">2. ildoa</w:t>
      </w:r>
      <w:r>
        <w:rPr>
          <w:rFonts w:ascii="Arial" w:hAnsi="Arial"/>
        </w:rPr>
        <w:t xml:space="preserve"> </w:t>
      </w:r>
      <w:r>
        <w:rPr>
          <w:rFonts w:ascii="Arial" w:hAnsi="Arial"/>
        </w:rPr>
        <w:t xml:space="preserve">Hezkuntza teknologiak irakaskuntza- eta ikaskuntza-prozesuan txertatzea.</w:t>
      </w:r>
    </w:p>
    <w:p w14:paraId="029D11C0" w14:textId="01EA2600" w:rsidR="00946829" w:rsidRPr="00946829" w:rsidRDefault="00946829" w:rsidP="00946829">
      <w:pPr>
        <w:spacing w:line="360" w:lineRule="auto"/>
        <w:rPr>
          <w:rFonts w:ascii="Arial" w:hAnsi="Arial" w:cs="Arial"/>
        </w:rPr>
      </w:pPr>
      <w:r>
        <w:rPr>
          <w:rFonts w:ascii="Arial" w:hAnsi="Arial"/>
        </w:rPr>
        <w:t xml:space="preserve">•</w:t>
      </w:r>
      <w:r>
        <w:rPr>
          <w:rFonts w:ascii="Arial" w:hAnsi="Arial"/>
        </w:rPr>
        <w:tab/>
      </w:r>
      <w:r>
        <w:rPr>
          <w:rFonts w:ascii="Arial" w:hAnsi="Arial"/>
        </w:rPr>
        <w:t xml:space="preserve">3. ildoa.</w:t>
      </w:r>
      <w:r>
        <w:rPr>
          <w:rFonts w:ascii="Arial" w:hAnsi="Arial"/>
        </w:rPr>
        <w:t xml:space="preserve"> </w:t>
      </w:r>
      <w:r>
        <w:rPr>
          <w:rFonts w:ascii="Arial" w:hAnsi="Arial"/>
        </w:rPr>
        <w:t xml:space="preserve">Hezkuntza esperientzien eta eskola antolamendu eta kudeaketa arrakastatsuen berrikuntza, ikerketa, zabalkundea eta trukea.</w:t>
      </w:r>
    </w:p>
    <w:p w14:paraId="5EBE92BE" w14:textId="77777777" w:rsidR="00946829" w:rsidRPr="00946829" w:rsidRDefault="00946829" w:rsidP="00946829">
      <w:pPr>
        <w:spacing w:line="360" w:lineRule="auto"/>
        <w:rPr>
          <w:rFonts w:ascii="Arial" w:hAnsi="Arial" w:cs="Arial"/>
        </w:rPr>
      </w:pPr>
      <w:r>
        <w:rPr>
          <w:rFonts w:ascii="Arial" w:hAnsi="Arial"/>
        </w:rPr>
        <w:t xml:space="preserve">•</w:t>
      </w:r>
      <w:r>
        <w:rPr>
          <w:rFonts w:ascii="Arial" w:hAnsi="Arial"/>
        </w:rPr>
        <w:tab/>
      </w:r>
      <w:r>
        <w:rPr>
          <w:rFonts w:ascii="Arial" w:hAnsi="Arial"/>
        </w:rPr>
        <w:t xml:space="preserve">4. ildoa.</w:t>
      </w:r>
      <w:r>
        <w:rPr>
          <w:rFonts w:ascii="Arial" w:hAnsi="Arial"/>
        </w:rPr>
        <w:t xml:space="preserve"> </w:t>
      </w:r>
      <w:r>
        <w:rPr>
          <w:rFonts w:ascii="Arial" w:hAnsi="Arial"/>
        </w:rPr>
        <w:t xml:space="preserve">Baterako hezkuntzarekiko konpromisoa eta kontzientzia kritikoaren garapena: genero berdintasuna, bizikidetza eta tratu ona, erantzukizuna eta justizia soziala, herritartasun globala, jasangarritasuna eta ingurumena.</w:t>
      </w:r>
    </w:p>
    <w:p w14:paraId="5010725E" w14:textId="77777777" w:rsidR="00946829" w:rsidRPr="00946829" w:rsidRDefault="00946829" w:rsidP="00946829">
      <w:pPr>
        <w:spacing w:line="360" w:lineRule="auto"/>
        <w:rPr>
          <w:rFonts w:ascii="Arial" w:hAnsi="Arial" w:cs="Arial"/>
        </w:rPr>
      </w:pPr>
      <w:r>
        <w:rPr>
          <w:rFonts w:ascii="Arial" w:hAnsi="Arial"/>
        </w:rPr>
        <w:t xml:space="preserve">•</w:t>
      </w:r>
      <w:r>
        <w:rPr>
          <w:rFonts w:ascii="Arial" w:hAnsi="Arial"/>
        </w:rPr>
        <w:tab/>
      </w:r>
      <w:r>
        <w:rPr>
          <w:rFonts w:ascii="Arial" w:hAnsi="Arial"/>
        </w:rPr>
        <w:t xml:space="preserve">5. ildoa.</w:t>
      </w:r>
      <w:r>
        <w:rPr>
          <w:rFonts w:ascii="Arial" w:hAnsi="Arial"/>
        </w:rPr>
        <w:t xml:space="preserve"> </w:t>
      </w:r>
      <w:r>
        <w:rPr>
          <w:rFonts w:ascii="Arial" w:hAnsi="Arial"/>
        </w:rPr>
        <w:t xml:space="preserve">Eleaniztasuna sustatzea, Nafarroako berezko hizkuntzetatik abiaturik eta hizkuntzen tratamendu integratua erabiliz.</w:t>
      </w:r>
    </w:p>
    <w:p w14:paraId="2C21447D" w14:textId="77777777" w:rsidR="00A96B8A" w:rsidRDefault="00946829" w:rsidP="00946829">
      <w:pPr>
        <w:spacing w:line="360" w:lineRule="auto"/>
        <w:rPr>
          <w:rFonts w:ascii="Arial" w:hAnsi="Arial" w:cs="Arial"/>
        </w:rPr>
      </w:pPr>
      <w:r>
        <w:rPr>
          <w:rFonts w:ascii="Arial" w:hAnsi="Arial"/>
        </w:rPr>
        <w:t xml:space="preserve">•</w:t>
      </w:r>
      <w:r>
        <w:rPr>
          <w:rFonts w:ascii="Arial" w:hAnsi="Arial"/>
        </w:rPr>
        <w:tab/>
      </w:r>
      <w:r>
        <w:rPr>
          <w:rFonts w:ascii="Arial" w:hAnsi="Arial"/>
        </w:rPr>
        <w:t xml:space="preserve">6. ildoa.</w:t>
      </w:r>
      <w:r>
        <w:rPr>
          <w:rFonts w:ascii="Arial" w:hAnsi="Arial"/>
        </w:rPr>
        <w:t xml:space="preserve"> </w:t>
      </w:r>
      <w:r>
        <w:rPr>
          <w:rFonts w:ascii="Arial" w:hAnsi="Arial"/>
        </w:rPr>
        <w:t xml:space="preserve">Laneko arriskuen prebentzioa eta osasun integralaren hobekuntza.</w:t>
      </w:r>
    </w:p>
    <w:p w14:paraId="59718208" w14:textId="3A64125D" w:rsidR="00946829" w:rsidRPr="00946829" w:rsidRDefault="00946829" w:rsidP="00946829">
      <w:pPr>
        <w:spacing w:line="360" w:lineRule="auto"/>
        <w:rPr>
          <w:rFonts w:ascii="Arial" w:hAnsi="Arial" w:cs="Arial"/>
        </w:rPr>
      </w:pPr>
      <w:r>
        <w:rPr>
          <w:rFonts w:ascii="Arial" w:hAnsi="Arial"/>
        </w:rPr>
        <w:t xml:space="preserve">Prestakuntzaren kalitatea bermatzeko, beren alorrean arrakasta handia duten profesionalak hautatu eta kontratatzen dira, eta irakasleek parte hartzen duten prestakuntza jardueretan egiten duen ebaluaziotik eratorritako balorazioak hartzen dira aintzat.</w:t>
      </w:r>
    </w:p>
    <w:p w14:paraId="480D1EC7" w14:textId="77777777" w:rsidR="00A96B8A" w:rsidRDefault="00946829" w:rsidP="00946829">
      <w:pPr>
        <w:spacing w:line="360" w:lineRule="auto"/>
        <w:rPr>
          <w:rFonts w:ascii="Arial" w:hAnsi="Arial" w:cs="Arial"/>
        </w:rPr>
      </w:pPr>
      <w:r>
        <w:rPr>
          <w:rFonts w:ascii="Arial" w:hAnsi="Arial"/>
        </w:rPr>
        <w:t xml:space="preserve">Hori horrela, Prestakuntza eta Kalitate Ataleko langileek eta irakasleentzako laguntza zentroetako (ILZ) askotariko aholkulariek baterako ardura hartzen dute egokituta daukaten eremurako beren urteko prestakuntza planean bildutako jarduerak planifikatzeko, antolatzeko eta garatzeko, betiere prestakuntza prozesuen ardatz gisa ikastetxea harturik.</w:t>
      </w:r>
    </w:p>
    <w:p w14:paraId="19F8C66D" w14:textId="0ED2CCF2" w:rsidR="00946829" w:rsidRDefault="00946829" w:rsidP="00946829">
      <w:pPr>
        <w:spacing w:line="360" w:lineRule="auto"/>
        <w:rPr>
          <w:rFonts w:ascii="Arial" w:hAnsi="Arial" w:cs="Arial"/>
        </w:rPr>
      </w:pPr>
      <w:r>
        <w:rPr>
          <w:rFonts w:ascii="Arial" w:hAnsi="Arial"/>
        </w:rPr>
        <w:t xml:space="preserve">Iruñean, 2024ko ekainaren 11n.</w:t>
      </w:r>
    </w:p>
    <w:p w14:paraId="194503CA" w14:textId="77777777" w:rsidR="00A96B8A" w:rsidRDefault="00FE00DF" w:rsidP="00FE00DF">
      <w:pPr>
        <w:spacing w:line="360" w:lineRule="auto"/>
        <w:rPr>
          <w:rFonts w:ascii="Arial" w:hAnsi="Arial" w:cs="Arial"/>
        </w:rPr>
      </w:pPr>
      <w:r>
        <w:rPr>
          <w:rFonts w:ascii="Arial" w:hAnsi="Arial"/>
        </w:rPr>
        <w:t xml:space="preserve">Hezkuntzako kontseilaria:</w:t>
      </w:r>
      <w:r>
        <w:rPr>
          <w:rFonts w:ascii="Arial" w:hAnsi="Arial"/>
        </w:rPr>
        <w:t xml:space="preserve"> </w:t>
      </w:r>
      <w:r>
        <w:rPr>
          <w:rFonts w:ascii="Arial" w:hAnsi="Arial"/>
        </w:rPr>
        <w:t xml:space="preserve">Carlos Gimeno Gurpegui</w:t>
      </w:r>
    </w:p>
    <w:p w14:paraId="087F7D9E" w14:textId="0ED194C5" w:rsidR="00FE00DF" w:rsidRPr="00726CF5" w:rsidRDefault="00FE00DF" w:rsidP="00FE00DF">
      <w:pPr>
        <w:spacing w:line="360" w:lineRule="auto"/>
        <w:rPr>
          <w:rFonts w:ascii="Arial" w:hAnsi="Arial" w:cs="Arial"/>
          <w:lang w:val="es-ES"/>
        </w:rPr>
      </w:pPr>
    </w:p>
    <w:sectPr w:rsidR="00FE00DF" w:rsidRPr="00726CF5" w:rsidSect="00015348">
      <w:footerReference w:type="default" r:id="rId7"/>
      <w:pgSz w:w="11906" w:h="16838"/>
      <w:pgMar w:top="1417" w:right="1701" w:bottom="1417" w:left="1701"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444F3" w14:textId="77777777" w:rsidR="00FA19E2" w:rsidRDefault="00FA19E2" w:rsidP="00FA19E2">
      <w:r>
        <w:separator/>
      </w:r>
    </w:p>
  </w:endnote>
  <w:endnote w:type="continuationSeparator" w:id="0">
    <w:p w14:paraId="0F4E0325" w14:textId="77777777" w:rsidR="00FA19E2" w:rsidRDefault="00FA19E2" w:rsidP="00FA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24A1E" w14:textId="77777777" w:rsidR="008E2D4F" w:rsidRDefault="008E2D4F" w:rsidP="00015348">
    <w:pPr>
      <w:pStyle w:val="Piedepgina"/>
      <w:tabs>
        <w:tab w:val="clear" w:pos="4252"/>
        <w:tab w:val="clear" w:pos="8504"/>
        <w:tab w:val="left" w:pos="37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8F613" w14:textId="77777777" w:rsidR="00FA19E2" w:rsidRDefault="00FA19E2" w:rsidP="00FA19E2">
      <w:r>
        <w:separator/>
      </w:r>
    </w:p>
  </w:footnote>
  <w:footnote w:type="continuationSeparator" w:id="0">
    <w:p w14:paraId="09AA6B83" w14:textId="77777777" w:rsidR="00FA19E2" w:rsidRDefault="00FA19E2" w:rsidP="00FA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208DD"/>
    <w:multiLevelType w:val="hybridMultilevel"/>
    <w:tmpl w:val="6F441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573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82"/>
    <w:rsid w:val="001A7D30"/>
    <w:rsid w:val="00252F8D"/>
    <w:rsid w:val="00301EBE"/>
    <w:rsid w:val="00512E7C"/>
    <w:rsid w:val="0059543B"/>
    <w:rsid w:val="006E2EAF"/>
    <w:rsid w:val="00702F82"/>
    <w:rsid w:val="00726CF5"/>
    <w:rsid w:val="007651FC"/>
    <w:rsid w:val="00822C42"/>
    <w:rsid w:val="00881162"/>
    <w:rsid w:val="008E2D4F"/>
    <w:rsid w:val="008E4A36"/>
    <w:rsid w:val="00946829"/>
    <w:rsid w:val="00A371E4"/>
    <w:rsid w:val="00A458A6"/>
    <w:rsid w:val="00A96B8A"/>
    <w:rsid w:val="00AD2694"/>
    <w:rsid w:val="00D1730C"/>
    <w:rsid w:val="00FA19E2"/>
    <w:rsid w:val="00FC607E"/>
    <w:rsid w:val="00FE0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DCFA"/>
  <w15:chartTrackingRefBased/>
  <w15:docId w15:val="{27F2ED4C-58B4-45B8-8605-DC9E8F78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E2"/>
    <w:pPr>
      <w:spacing w:after="0" w:line="240" w:lineRule="auto"/>
    </w:pPr>
    <w:rPr>
      <w:rFonts w:ascii="Times New Roman" w:eastAsia="Times New Roman" w:hAnsi="Times New Roman" w:cs="Times New Roman"/>
      <w:sz w:val="20"/>
      <w:szCs w:val="20"/>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19E2"/>
    <w:pPr>
      <w:tabs>
        <w:tab w:val="center" w:pos="4252"/>
        <w:tab w:val="right" w:pos="8504"/>
      </w:tabs>
    </w:pPr>
    <w:rPr>
      <w:rFonts w:asciiTheme="minorHAnsi" w:eastAsiaTheme="minorHAnsi" w:hAnsiTheme="minorHAnsi" w:cstheme="minorBidi"/>
      <w:sz w:val="22"/>
      <w:szCs w:val="22"/>
      <w:lang w:val="eu-ES" w:eastAsia="en-US"/>
    </w:rPr>
  </w:style>
  <w:style w:type="character" w:customStyle="1" w:styleId="EncabezadoCar">
    <w:name w:val="Encabezado Car"/>
    <w:basedOn w:val="Fuentedeprrafopredeter"/>
    <w:link w:val="Encabezado"/>
    <w:uiPriority w:val="99"/>
    <w:rsid w:val="00FA19E2"/>
  </w:style>
  <w:style w:type="paragraph" w:styleId="Piedepgina">
    <w:name w:val="footer"/>
    <w:basedOn w:val="Normal"/>
    <w:link w:val="PiedepginaCar"/>
    <w:unhideWhenUsed/>
    <w:rsid w:val="00FA19E2"/>
    <w:pPr>
      <w:tabs>
        <w:tab w:val="center" w:pos="4252"/>
        <w:tab w:val="right" w:pos="8504"/>
      </w:tabs>
    </w:pPr>
    <w:rPr>
      <w:rFonts w:asciiTheme="minorHAnsi" w:eastAsiaTheme="minorHAnsi" w:hAnsiTheme="minorHAnsi" w:cstheme="minorBidi"/>
      <w:sz w:val="22"/>
      <w:szCs w:val="22"/>
      <w:lang w:val="eu-ES" w:eastAsia="en-US"/>
    </w:rPr>
  </w:style>
  <w:style w:type="character" w:customStyle="1" w:styleId="PiedepginaCar">
    <w:name w:val="Pie de página Car"/>
    <w:basedOn w:val="Fuentedeprrafopredeter"/>
    <w:link w:val="Piedepgina"/>
    <w:rsid w:val="00FA19E2"/>
  </w:style>
  <w:style w:type="paragraph" w:styleId="Textoindependiente">
    <w:name w:val="Body Text"/>
    <w:basedOn w:val="Normal"/>
    <w:link w:val="TextoindependienteCar"/>
    <w:rsid w:val="00FA19E2"/>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FA19E2"/>
    <w:rPr>
      <w:rFonts w:ascii="Times New Roman" w:eastAsia="Times New Roman" w:hAnsi="Times New Roman" w:cs="Times New Roman"/>
      <w:sz w:val="26"/>
      <w:szCs w:val="20"/>
      <w:lang w:val="eu-ES" w:eastAsia="es-ES"/>
    </w:rPr>
  </w:style>
  <w:style w:type="character" w:styleId="Nmerodepgina">
    <w:name w:val="page number"/>
    <w:basedOn w:val="Fuentedeprrafopredeter"/>
    <w:rsid w:val="00FA19E2"/>
  </w:style>
  <w:style w:type="paragraph" w:styleId="Prrafodelista">
    <w:name w:val="List Paragraph"/>
    <w:basedOn w:val="Normal"/>
    <w:uiPriority w:val="34"/>
    <w:qFormat/>
    <w:rsid w:val="00FA19E2"/>
    <w:pPr>
      <w:ind w:left="720"/>
      <w:contextualSpacing/>
    </w:pPr>
  </w:style>
  <w:style w:type="table" w:styleId="Tablaconcuadrcula">
    <w:name w:val="Table Grid"/>
    <w:basedOn w:val="Tablanormal"/>
    <w:uiPriority w:val="39"/>
    <w:rsid w:val="006E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26CF5"/>
    <w:pPr>
      <w:widowControl w:val="0"/>
      <w:spacing w:after="0" w:line="240" w:lineRule="auto"/>
    </w:pPr>
    <w:rPr>
      <w:lang w:val="eu-E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6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3874</Characters>
  <Application>Microsoft Office Word</Application>
  <DocSecurity>0</DocSecurity>
  <Lines>32</Lines>
  <Paragraphs>9</Paragraphs>
  <ScaleCrop>false</ScaleCrop>
  <Company>Gobierno de Navarra</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Aranaz, Carlota</cp:lastModifiedBy>
  <cp:revision>10</cp:revision>
  <dcterms:created xsi:type="dcterms:W3CDTF">2024-06-12T12:13:00Z</dcterms:created>
  <dcterms:modified xsi:type="dcterms:W3CDTF">2024-06-14T07:59:00Z</dcterms:modified>
</cp:coreProperties>
</file>