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6024" w14:textId="34E27865" w:rsidR="005B0A63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D15691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Dª. Raquel Garbayo Berdonces, adscrita al Grupo Parlamentario Unión del Pueblo Navarro, en la que solicita (11-24/PES-00264):</w:t>
      </w:r>
    </w:p>
    <w:p w14:paraId="7A00C29E" w14:textId="77777777" w:rsidR="00C414FA" w:rsidRDefault="005B0A63" w:rsidP="005B0A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0A63">
        <w:rPr>
          <w:rFonts w:ascii="Arial" w:hAnsi="Arial" w:cs="Arial"/>
          <w:sz w:val="24"/>
          <w:szCs w:val="24"/>
        </w:rPr>
        <w:t>¿Cuántas plazas para personas sin hogar está ofreciendo el Gobierno de Navarra sin contar con los albergues municipales?</w:t>
      </w:r>
    </w:p>
    <w:p w14:paraId="7FCEFDEF" w14:textId="19D3EEE9" w:rsidR="00C414FA" w:rsidRDefault="00D15691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i</w:t>
      </w:r>
      <w:r w:rsidR="005B0A63">
        <w:rPr>
          <w:rFonts w:ascii="Arial" w:hAnsi="Arial" w:cs="Arial"/>
          <w:sz w:val="24"/>
          <w:szCs w:val="24"/>
        </w:rPr>
        <w:t>ndicar que, en el diagnóstico llevado a cabo en esta materia se recogen los siguientes datos. Los datos agregados, por lo que hay que tener en cuenta que el número de plazas de albergues municipales ordinarios ascienden a 76:</w:t>
      </w:r>
    </w:p>
    <w:p w14:paraId="286B0CE0" w14:textId="77777777" w:rsidR="00C414FA" w:rsidRDefault="00387C3E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B0A63">
        <w:rPr>
          <w:rFonts w:ascii="Arial" w:hAnsi="Arial" w:cs="Arial"/>
          <w:sz w:val="24"/>
          <w:szCs w:val="24"/>
        </w:rPr>
        <w:t>En función de su actividad principal, en 2022, los recursos con alojamiento constituyen el 72</w:t>
      </w:r>
      <w:r w:rsidR="000C08E4"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del total de centros (18 centros de 25). No obstante, su peso relativo decrece en 2020 y 2022 debido al aumento de los comedores sociales y los talleres ocupaciones o centros de día que, en 2022, pasan a suponer el 28</w:t>
      </w:r>
      <w:r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del total de centros (4 comedores sociales y 3 centros de día o talleres ocupaciones). De acuerdo con la ECPSH, del total de centros de alojamiento el 39</w:t>
      </w:r>
      <w:r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son albergues o centros de acogida nocturna, un 17</w:t>
      </w:r>
      <w:r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residencias y un 45</w:t>
      </w:r>
      <w:r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apartamentos o pisos</w:t>
      </w:r>
      <w:r>
        <w:rPr>
          <w:rFonts w:ascii="Arial" w:hAnsi="Arial" w:cs="Arial"/>
          <w:sz w:val="24"/>
          <w:szCs w:val="24"/>
        </w:rPr>
        <w:t xml:space="preserve">, </w:t>
      </w:r>
      <w:r w:rsidR="005B0A6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de acogida temporal y un 6</w:t>
      </w:r>
      <w:r w:rsidR="000C08E4">
        <w:rPr>
          <w:rFonts w:ascii="Arial" w:hAnsi="Arial" w:cs="Arial"/>
          <w:sz w:val="24"/>
          <w:szCs w:val="24"/>
        </w:rPr>
        <w:t xml:space="preserve"> </w:t>
      </w:r>
      <w:r w:rsidR="005B0A63">
        <w:rPr>
          <w:rFonts w:ascii="Arial" w:hAnsi="Arial" w:cs="Arial"/>
          <w:sz w:val="24"/>
          <w:szCs w:val="24"/>
        </w:rPr>
        <w:t>% de estancia indefinida</w:t>
      </w:r>
      <w:r>
        <w:rPr>
          <w:rFonts w:ascii="Arial" w:hAnsi="Arial" w:cs="Arial"/>
          <w:sz w:val="24"/>
          <w:szCs w:val="24"/>
        </w:rPr>
        <w:t>”.</w:t>
      </w:r>
    </w:p>
    <w:p w14:paraId="37DA79F2" w14:textId="42F0BC0D" w:rsidR="005B0A63" w:rsidRPr="00276123" w:rsidRDefault="005B0A63" w:rsidP="005B0A63">
      <w:pPr>
        <w:spacing w:after="6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72277455"/>
      <w:r w:rsidRPr="00276123">
        <w:rPr>
          <w:rFonts w:ascii="Arial" w:hAnsi="Arial" w:cs="Arial"/>
          <w:b/>
          <w:bCs/>
          <w:color w:val="000000" w:themeColor="text1"/>
        </w:rPr>
        <w:t xml:space="preserve">Gráfico </w:t>
      </w:r>
      <w:r w:rsidRPr="00276123">
        <w:rPr>
          <w:rFonts w:ascii="Arial" w:hAnsi="Arial" w:cs="Arial"/>
          <w:b/>
          <w:bCs/>
          <w:color w:val="000000" w:themeColor="text1"/>
        </w:rPr>
        <w:fldChar w:fldCharType="begin"/>
      </w:r>
      <w:r w:rsidRPr="00276123">
        <w:rPr>
          <w:rFonts w:ascii="Arial" w:hAnsi="Arial" w:cs="Arial"/>
          <w:b/>
          <w:bCs/>
          <w:color w:val="000000" w:themeColor="text1"/>
        </w:rPr>
        <w:instrText xml:space="preserve"> SEQ Gráfico \* ARABIC </w:instrText>
      </w:r>
      <w:r w:rsidRPr="00276123">
        <w:rPr>
          <w:rFonts w:ascii="Arial" w:hAnsi="Arial" w:cs="Arial"/>
          <w:b/>
          <w:bCs/>
          <w:color w:val="000000" w:themeColor="text1"/>
        </w:rPr>
        <w:fldChar w:fldCharType="separate"/>
      </w:r>
      <w:r w:rsidRPr="00276123">
        <w:rPr>
          <w:rFonts w:ascii="Arial" w:hAnsi="Arial" w:cs="Arial"/>
          <w:b/>
          <w:bCs/>
          <w:noProof/>
          <w:color w:val="000000" w:themeColor="text1"/>
        </w:rPr>
        <w:t>20</w:t>
      </w:r>
      <w:r w:rsidRPr="00276123">
        <w:rPr>
          <w:rFonts w:ascii="Arial" w:hAnsi="Arial" w:cs="Arial"/>
          <w:b/>
          <w:bCs/>
          <w:color w:val="000000" w:themeColor="text1"/>
        </w:rPr>
        <w:fldChar w:fldCharType="end"/>
      </w:r>
      <w:r w:rsidRPr="00276123">
        <w:rPr>
          <w:rFonts w:ascii="Arial" w:hAnsi="Arial" w:cs="Arial"/>
          <w:b/>
          <w:bCs/>
          <w:color w:val="000000" w:themeColor="text1"/>
        </w:rPr>
        <w:t>. Distribución de los centros en función de la actividad principal del centro (%). 2014-2022.</w:t>
      </w:r>
    </w:p>
    <w:p w14:paraId="538501AB" w14:textId="77777777" w:rsidR="005B0A63" w:rsidRPr="005B0A63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F3A">
        <w:rPr>
          <w:rFonts w:asciiTheme="majorHAnsi" w:hAnsiTheme="majorHAnsi" w:cstheme="majorHAnsi"/>
          <w:noProof/>
          <w:color w:val="000000" w:themeColor="text1"/>
          <w:sz w:val="16"/>
          <w:szCs w:val="16"/>
          <w:lang w:val="es-ES"/>
        </w:rPr>
        <w:drawing>
          <wp:inline distT="0" distB="0" distL="0" distR="0" wp14:anchorId="304254F4" wp14:editId="7BC1DDFE">
            <wp:extent cx="5184000" cy="1800000"/>
            <wp:effectExtent l="0" t="0" r="0" b="0"/>
            <wp:docPr id="114488715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B0A63" w:rsidRPr="005B0A63" w14:paraId="34717457" w14:textId="77777777" w:rsidTr="00A32D1B">
        <w:trPr>
          <w:jc w:val="center"/>
        </w:trPr>
        <w:tc>
          <w:tcPr>
            <w:tcW w:w="8789" w:type="dxa"/>
            <w:vAlign w:val="center"/>
          </w:tcPr>
          <w:p w14:paraId="309DE546" w14:textId="77777777" w:rsidR="005B0A63" w:rsidRPr="005B0A63" w:rsidRDefault="005B0A63" w:rsidP="00A32D1B">
            <w:pPr>
              <w:jc w:val="right"/>
              <w:rPr>
                <w:rFonts w:ascii="Arial" w:hAnsi="Arial" w:cs="Arial"/>
                <w:noProof/>
                <w:color w:val="000000" w:themeColor="text1"/>
                <w:sz w:val="18"/>
                <w:szCs w:val="14"/>
              </w:rPr>
            </w:pPr>
            <w:r w:rsidRPr="005B0A63">
              <w:rPr>
                <w:rFonts w:ascii="Arial" w:hAnsi="Arial" w:cs="Arial"/>
                <w:sz w:val="18"/>
                <w:szCs w:val="14"/>
              </w:rPr>
              <w:t>Fuente: INE. Encuesta sobre centros y servicios de atención a personas sin hogar</w:t>
            </w:r>
          </w:p>
        </w:tc>
      </w:tr>
      <w:bookmarkEnd w:id="0"/>
    </w:tbl>
    <w:p w14:paraId="2DD9B229" w14:textId="77777777" w:rsidR="00C414FA" w:rsidRDefault="00C414FA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949EFF" w14:textId="77777777" w:rsidR="00C414FA" w:rsidRDefault="00C414FA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20EB3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2014 y 2022, crece considerablemente la red de recursos para personas sin hogar de Navarra (Tabla 2): el número de plazas de alojamiento (en 509), las de restauración (en 297) y las plazas ocupaciones y/o de día (en 452), su ocupación, así como su cobertura (número de plazas por cada 100 habitantes). </w:t>
      </w:r>
      <w:r>
        <w:rPr>
          <w:rFonts w:ascii="Arial" w:hAnsi="Arial" w:cs="Arial"/>
          <w:sz w:val="24"/>
          <w:szCs w:val="24"/>
        </w:rPr>
        <w:lastRenderedPageBreak/>
        <w:t xml:space="preserve">En 2022, los 25 centros para personas sin hogar ofrecen, de media, 845 plazas de alojamiento, 714 de restauración y 833 plazas diurnas de carácter ocupacional y/o educativo. </w:t>
      </w:r>
    </w:p>
    <w:p w14:paraId="24685637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perspectiva comparada, del total de la oferta de centros para personas sin hogar del Estado (1.175), Navarra representa en 2022 el 2,1</w:t>
      </w:r>
      <w:r w:rsidR="000C0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%. No obstante, se trata de la segunda comunidad autónoma del Estado con una mayor cobertura de plazas residenciales.</w:t>
      </w:r>
    </w:p>
    <w:p w14:paraId="2274ADAA" w14:textId="121AACEA" w:rsidR="005B0A63" w:rsidRPr="00276123" w:rsidRDefault="005B0A63" w:rsidP="005B0A63">
      <w:pPr>
        <w:spacing w:line="360" w:lineRule="auto"/>
        <w:jc w:val="center"/>
        <w:rPr>
          <w:rFonts w:ascii="Arial" w:hAnsi="Arial" w:cs="Arial"/>
        </w:rPr>
      </w:pPr>
      <w:bookmarkStart w:id="1" w:name="_Hlk172277639"/>
      <w:r w:rsidRPr="00276123">
        <w:rPr>
          <w:rFonts w:ascii="Arial" w:hAnsi="Arial" w:cs="Arial"/>
          <w:b/>
        </w:rPr>
        <w:t xml:space="preserve">Tabla </w:t>
      </w:r>
      <w:r w:rsidRPr="00276123">
        <w:rPr>
          <w:rFonts w:ascii="Arial" w:hAnsi="Arial" w:cs="Arial"/>
          <w:b/>
        </w:rPr>
        <w:fldChar w:fldCharType="begin"/>
      </w:r>
      <w:r w:rsidRPr="00276123">
        <w:rPr>
          <w:rFonts w:ascii="Arial" w:hAnsi="Arial" w:cs="Arial"/>
          <w:b/>
        </w:rPr>
        <w:instrText xml:space="preserve"> SEQ Tabla \* ARABIC </w:instrText>
      </w:r>
      <w:r w:rsidRPr="00276123">
        <w:rPr>
          <w:rFonts w:ascii="Arial" w:hAnsi="Arial" w:cs="Arial"/>
          <w:b/>
        </w:rPr>
        <w:fldChar w:fldCharType="separate"/>
      </w:r>
      <w:r w:rsidRPr="00276123">
        <w:rPr>
          <w:rFonts w:ascii="Arial" w:hAnsi="Arial" w:cs="Arial"/>
          <w:b/>
          <w:noProof/>
        </w:rPr>
        <w:t>2</w:t>
      </w:r>
      <w:r w:rsidRPr="00276123">
        <w:rPr>
          <w:rFonts w:ascii="Arial" w:hAnsi="Arial" w:cs="Arial"/>
          <w:b/>
        </w:rPr>
        <w:fldChar w:fldCharType="end"/>
      </w:r>
      <w:r w:rsidRPr="00276123">
        <w:rPr>
          <w:rFonts w:ascii="Arial" w:hAnsi="Arial" w:cs="Arial"/>
          <w:b/>
        </w:rPr>
        <w:t>. Número de plazas, ocupación media y cobertura en función del tipo de recurso o servicio. 2014-2022</w:t>
      </w:r>
    </w:p>
    <w:tbl>
      <w:tblPr>
        <w:tblStyle w:val="Tablaconcuadrcula"/>
        <w:tblW w:w="8430" w:type="dxa"/>
        <w:jc w:val="center"/>
        <w:tblBorders>
          <w:top w:val="single" w:sz="12" w:space="0" w:color="C00000"/>
          <w:left w:val="none" w:sz="0" w:space="0" w:color="auto"/>
          <w:bottom w:val="single" w:sz="12" w:space="0" w:color="C0000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877"/>
        <w:gridCol w:w="877"/>
        <w:gridCol w:w="877"/>
        <w:gridCol w:w="877"/>
        <w:gridCol w:w="873"/>
      </w:tblGrid>
      <w:tr w:rsidR="005B0A63" w:rsidRPr="00276123" w14:paraId="7E930BB0" w14:textId="77777777" w:rsidTr="005B0A63">
        <w:trPr>
          <w:trHeight w:val="244"/>
          <w:jc w:val="center"/>
        </w:trPr>
        <w:tc>
          <w:tcPr>
            <w:tcW w:w="2402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71370E19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6824CFE3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67482C93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56E2FFEF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5D814951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6123">
              <w:rPr>
                <w:rFonts w:ascii="Arial" w:hAnsi="Arial" w:cs="Arial"/>
                <w:b/>
                <w:color w:val="000000" w:themeColor="text1"/>
              </w:rPr>
              <w:t>2020</w:t>
            </w:r>
          </w:p>
        </w:tc>
        <w:tc>
          <w:tcPr>
            <w:tcW w:w="517" w:type="pct"/>
            <w:tcBorders>
              <w:top w:val="single" w:sz="8" w:space="0" w:color="BE0000"/>
              <w:bottom w:val="single" w:sz="8" w:space="0" w:color="BE0000"/>
            </w:tcBorders>
          </w:tcPr>
          <w:p w14:paraId="43E68BEE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6123">
              <w:rPr>
                <w:rFonts w:ascii="Arial" w:hAnsi="Arial" w:cs="Arial"/>
                <w:b/>
                <w:color w:val="000000" w:themeColor="text1"/>
              </w:rPr>
              <w:t>2022</w:t>
            </w:r>
          </w:p>
        </w:tc>
      </w:tr>
      <w:tr w:rsidR="005B0A63" w:rsidRPr="00276123" w14:paraId="720B6D38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346428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Centros con alojamiento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F3513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F804A8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B908D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94350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0C35E7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3B981900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B69E3EC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Nº medio de plazas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859A1D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1A2650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E0BD3E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6CC3A0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452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3D9F4F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845</w:t>
            </w:r>
          </w:p>
        </w:tc>
      </w:tr>
      <w:tr w:rsidR="005B0A63" w:rsidRPr="00276123" w14:paraId="3C1A0220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503EA58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Nº medio de plazas ocupadas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242078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A27FD3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B2B11A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E50531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395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A9047A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801</w:t>
            </w:r>
          </w:p>
        </w:tc>
      </w:tr>
      <w:tr w:rsidR="005B0A63" w:rsidRPr="00276123" w14:paraId="39C1382E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CD05666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Ocupación media (%)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F8F598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96B4F8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56,4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4D72864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  <w:color w:val="000000"/>
              </w:rPr>
              <w:t>73,3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355433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87,4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EC1A7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94,8</w:t>
            </w:r>
          </w:p>
        </w:tc>
      </w:tr>
      <w:tr w:rsidR="005B0A63" w:rsidRPr="00276123" w14:paraId="7EFE9C97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494FF79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% de plazas ocupadas por mujeres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1998BB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804F442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1B55E6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BB552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37,0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BEE25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46,4</w:t>
            </w:r>
          </w:p>
        </w:tc>
      </w:tr>
      <w:tr w:rsidR="005B0A63" w:rsidRPr="00276123" w14:paraId="77D7643D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8CA3D67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Cobertura % (nº de plazas por cada 100 habitantes)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1A2454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0,052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9496D3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0,055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F0CE4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0,081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270D3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0,068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2335F2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0,13</w:t>
            </w:r>
          </w:p>
        </w:tc>
      </w:tr>
      <w:tr w:rsidR="005B0A63" w:rsidRPr="00276123" w14:paraId="6F597D2A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D2D7405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Comedores sociales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3C8A10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2D6991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BC7B8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2DC828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0873DC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7E312378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723A2DA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Nº medio de plazas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D2B62E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47F2737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2D10524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630695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386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A45433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714</w:t>
            </w:r>
          </w:p>
        </w:tc>
      </w:tr>
      <w:tr w:rsidR="005B0A63" w:rsidRPr="00276123" w14:paraId="6629AAE1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E2AA828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Nº medio de servicios (desay., comida, cena)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581E03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283AE7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C806A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4B5350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1.033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6C106A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1.871</w:t>
            </w:r>
          </w:p>
        </w:tc>
      </w:tr>
      <w:tr w:rsidR="005B0A63" w:rsidRPr="00276123" w14:paraId="5CBCB6E5" w14:textId="77777777" w:rsidTr="005B0A63">
        <w:trPr>
          <w:trHeight w:val="252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78D7525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Cobertura % (nº de plazas por cada 100 habitantes)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8D3EC8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0,065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524BF1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0,064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C3D85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0,027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D4EFBD6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0,058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A201B1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0,11</w:t>
            </w:r>
          </w:p>
        </w:tc>
      </w:tr>
      <w:tr w:rsidR="005B0A63" w:rsidRPr="00276123" w14:paraId="660093B8" w14:textId="77777777" w:rsidTr="005B0A63">
        <w:trPr>
          <w:trHeight w:val="19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EC15219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76123">
              <w:rPr>
                <w:rFonts w:ascii="Arial" w:hAnsi="Arial" w:cs="Arial"/>
                <w:b/>
              </w:rPr>
              <w:t>Servicios ocupacionales y/o educativos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7759E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C1D8E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1ABD14C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788F1E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1BB4111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3254152E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F2FD70E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</w:rPr>
              <w:t>Nº medio de plazas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295A0C6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7E9B915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1242F2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 w:rsidRPr="00276123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431653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547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60614A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833</w:t>
            </w:r>
          </w:p>
        </w:tc>
      </w:tr>
      <w:tr w:rsidR="005B0A63" w:rsidRPr="00276123" w14:paraId="7EB3EF13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EBD4181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Nº medio de plazas ocupadas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D86C9C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342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6F6CD6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171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533A00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333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88FB0D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461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B80290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789</w:t>
            </w:r>
          </w:p>
        </w:tc>
      </w:tr>
      <w:tr w:rsidR="005B0A63" w:rsidRPr="00276123" w14:paraId="12BDA367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7E7A8CF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Ocupación media (%)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D43DF3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89,8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FD849C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55,5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792514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89,3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343B97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84,3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82E494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94,7</w:t>
            </w:r>
          </w:p>
        </w:tc>
      </w:tr>
      <w:tr w:rsidR="005B0A63" w:rsidRPr="00276123" w14:paraId="21CF29A3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103256E6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Cobertura % (nº de plazas por cada 100 habitantes)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763C7D0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0,059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0995A70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0,048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4D365D0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0,058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399C0EC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0,083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32EF4FA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0,13</w:t>
            </w:r>
          </w:p>
        </w:tc>
      </w:tr>
      <w:tr w:rsidR="005B0A63" w:rsidRPr="00276123" w14:paraId="0F0DE071" w14:textId="77777777" w:rsidTr="00A32D1B">
        <w:trPr>
          <w:trHeight w:val="157"/>
          <w:jc w:val="center"/>
        </w:trPr>
        <w:tc>
          <w:tcPr>
            <w:tcW w:w="5000" w:type="pct"/>
            <w:gridSpan w:val="6"/>
            <w:tcBorders>
              <w:top w:val="single" w:sz="12" w:space="0" w:color="BE0000"/>
              <w:bottom w:val="nil"/>
            </w:tcBorders>
            <w:vAlign w:val="center"/>
          </w:tcPr>
          <w:p w14:paraId="237D0AA3" w14:textId="77777777" w:rsidR="005B0A63" w:rsidRPr="00276123" w:rsidRDefault="005B0A63" w:rsidP="005B0A63">
            <w:pPr>
              <w:jc w:val="right"/>
              <w:rPr>
                <w:rFonts w:ascii="Arial" w:hAnsi="Arial" w:cs="Arial"/>
              </w:rPr>
            </w:pPr>
            <w:r w:rsidRPr="00276123">
              <w:rPr>
                <w:rFonts w:ascii="Arial" w:hAnsi="Arial" w:cs="Arial"/>
                <w:color w:val="000000" w:themeColor="text1"/>
              </w:rPr>
              <w:t>Fuente: INE. Encuesta sobre centros y servicios de atención a personas sin hogar /Estadística del Padrón Continuo.</w:t>
            </w:r>
          </w:p>
        </w:tc>
      </w:tr>
      <w:tr w:rsidR="005B0A63" w:rsidRPr="00276123" w14:paraId="0AA04D71" w14:textId="77777777" w:rsidTr="00A32D1B">
        <w:trPr>
          <w:trHeight w:val="32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2267FEA2" w14:textId="7E5B266E" w:rsidR="005B0A63" w:rsidRPr="00276123" w:rsidRDefault="005B0A63" w:rsidP="005B0A63">
            <w:pPr>
              <w:jc w:val="right"/>
              <w:rPr>
                <w:rFonts w:ascii="Arial" w:hAnsi="Arial" w:cs="Arial"/>
                <w:i/>
              </w:rPr>
            </w:pPr>
            <w:r w:rsidRPr="00276123">
              <w:rPr>
                <w:rFonts w:ascii="Arial" w:hAnsi="Arial" w:cs="Arial"/>
                <w:b/>
                <w:bCs/>
                <w:i/>
              </w:rPr>
              <w:t>Nota:</w:t>
            </w:r>
            <w:r w:rsidRPr="00276123">
              <w:rPr>
                <w:rFonts w:ascii="Arial" w:hAnsi="Arial" w:cs="Arial"/>
                <w:i/>
              </w:rPr>
              <w:t xml:space="preserve"> los datos sobre el número medio de plazas hacen referencia a los registrados en dos momentos del año </w:t>
            </w:r>
            <w:r w:rsidR="00D15691">
              <w:rPr>
                <w:rFonts w:ascii="Arial" w:hAnsi="Arial" w:cs="Arial"/>
                <w:i/>
              </w:rPr>
              <w:t>–</w:t>
            </w:r>
            <w:r w:rsidRPr="00276123">
              <w:rPr>
                <w:rFonts w:ascii="Arial" w:hAnsi="Arial" w:cs="Arial"/>
                <w:i/>
              </w:rPr>
              <w:t>generalmente, en junio y diciembre de cada año</w:t>
            </w:r>
            <w:r w:rsidR="00D15691">
              <w:rPr>
                <w:rFonts w:ascii="Arial" w:hAnsi="Arial" w:cs="Arial"/>
                <w:i/>
              </w:rPr>
              <w:t>–</w:t>
            </w:r>
            <w:r w:rsidRPr="00276123">
              <w:rPr>
                <w:rFonts w:ascii="Arial" w:hAnsi="Arial" w:cs="Arial"/>
                <w:i/>
              </w:rPr>
              <w:t>.</w:t>
            </w:r>
          </w:p>
        </w:tc>
      </w:tr>
      <w:bookmarkEnd w:id="1"/>
    </w:tbl>
    <w:p w14:paraId="51C04137" w14:textId="77777777" w:rsidR="00C414FA" w:rsidRDefault="00C414FA" w:rsidP="005B0A6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3F6F0B9" w14:textId="77777777" w:rsidR="005B0A63" w:rsidRPr="00764E30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3E38D3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17D0F7B2" w14:textId="77777777" w:rsidR="00C414FA" w:rsidRDefault="00C414FA" w:rsidP="005E2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55A82AB" w14:textId="3EE2A497" w:rsidR="00C414FA" w:rsidRDefault="005B0A63" w:rsidP="005E2473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764E30">
        <w:rPr>
          <w:rFonts w:ascii="Arial" w:hAnsi="Arial" w:cs="Arial"/>
          <w:sz w:val="24"/>
          <w:szCs w:val="24"/>
        </w:rPr>
        <w:t xml:space="preserve">, </w:t>
      </w:r>
      <w:r w:rsidR="00B227B9" w:rsidRPr="00B227B9">
        <w:rPr>
          <w:rFonts w:ascii="Arial" w:hAnsi="Arial" w:cs="Arial"/>
          <w:sz w:val="24"/>
          <w:szCs w:val="24"/>
        </w:rPr>
        <w:t>17 de junio de 2024</w:t>
      </w:r>
    </w:p>
    <w:p w14:paraId="24259F5B" w14:textId="77777777" w:rsidR="00C414FA" w:rsidRDefault="005E2473" w:rsidP="005E2473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525F23A6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26E77CFC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19B295AF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73250EA6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6FAFD95B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48327D5B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53FFEB4B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1BF270EB" w14:textId="77777777" w:rsidR="00C414FA" w:rsidRDefault="00C414FA" w:rsidP="005B0A63">
      <w:pPr>
        <w:rPr>
          <w:rFonts w:ascii="Arial" w:hAnsi="Arial" w:cs="Arial"/>
          <w:color w:val="FF0000"/>
          <w:sz w:val="24"/>
          <w:szCs w:val="24"/>
        </w:rPr>
      </w:pPr>
    </w:p>
    <w:p w14:paraId="53C46422" w14:textId="77777777" w:rsidR="00D73710" w:rsidRDefault="00D73710"/>
    <w:sectPr w:rsidR="00D7371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CF05" w14:textId="77777777" w:rsidR="00B227B9" w:rsidRDefault="00B227B9" w:rsidP="00B227B9">
      <w:r>
        <w:separator/>
      </w:r>
    </w:p>
  </w:endnote>
  <w:endnote w:type="continuationSeparator" w:id="0">
    <w:p w14:paraId="38536C70" w14:textId="77777777" w:rsidR="00B227B9" w:rsidRDefault="00B227B9" w:rsidP="00B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9AA7" w14:textId="77777777" w:rsidR="00B227B9" w:rsidRDefault="00B227B9" w:rsidP="00B227B9">
      <w:r>
        <w:separator/>
      </w:r>
    </w:p>
  </w:footnote>
  <w:footnote w:type="continuationSeparator" w:id="0">
    <w:p w14:paraId="6FCF3CB7" w14:textId="77777777" w:rsidR="00B227B9" w:rsidRDefault="00B227B9" w:rsidP="00B2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82C"/>
    <w:multiLevelType w:val="hybridMultilevel"/>
    <w:tmpl w:val="2C2025D6"/>
    <w:lvl w:ilvl="0" w:tplc="0106C4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3D5D"/>
    <w:multiLevelType w:val="hybridMultilevel"/>
    <w:tmpl w:val="B1BAC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8195">
    <w:abstractNumId w:val="1"/>
  </w:num>
  <w:num w:numId="2" w16cid:durableId="11463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A0"/>
    <w:rsid w:val="000C08E4"/>
    <w:rsid w:val="00241F80"/>
    <w:rsid w:val="002623B3"/>
    <w:rsid w:val="00276123"/>
    <w:rsid w:val="00387C3E"/>
    <w:rsid w:val="004652AC"/>
    <w:rsid w:val="005901F2"/>
    <w:rsid w:val="005B0A63"/>
    <w:rsid w:val="005E2473"/>
    <w:rsid w:val="00703DD7"/>
    <w:rsid w:val="007B4656"/>
    <w:rsid w:val="008B1F1A"/>
    <w:rsid w:val="00B227B9"/>
    <w:rsid w:val="00B813A0"/>
    <w:rsid w:val="00C414FA"/>
    <w:rsid w:val="00D15691"/>
    <w:rsid w:val="00D73710"/>
    <w:rsid w:val="00E0717B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E0B0"/>
  <w15:chartTrackingRefBased/>
  <w15:docId w15:val="{E8B82DC2-854C-4539-A85A-27C6750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A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A63"/>
  </w:style>
  <w:style w:type="paragraph" w:styleId="Piedepgina">
    <w:name w:val="footer"/>
    <w:basedOn w:val="Normal"/>
    <w:link w:val="PiedepginaCar"/>
    <w:unhideWhenUsed/>
    <w:rsid w:val="005B0A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5B0A63"/>
  </w:style>
  <w:style w:type="paragraph" w:styleId="Textoindependiente">
    <w:name w:val="Body Text"/>
    <w:basedOn w:val="Normal"/>
    <w:link w:val="TextoindependienteCar"/>
    <w:rsid w:val="005B0A6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B0A63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5B0A63"/>
  </w:style>
  <w:style w:type="paragraph" w:styleId="Prrafodelista">
    <w:name w:val="List Paragraph"/>
    <w:aliases w:val="Estilo párrafo Título principal sin numerar,Parrafo normal,Liste 1,Lettre d'introduction,Paragrafo elenco,List Paragraph1,1st level - Bullet List Paragraph"/>
    <w:basedOn w:val="Normal"/>
    <w:link w:val="PrrafodelistaCar"/>
    <w:uiPriority w:val="34"/>
    <w:qFormat/>
    <w:rsid w:val="005B0A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Estilo párrafo Título principal sin numerar Car,Parrafo normal Car,Liste 1 Car,Lettre d'introduction Car,Paragrafo elenco Car,List Paragraph1 Car,1st level - Bullet List Paragraph Car"/>
    <w:basedOn w:val="Fuentedeprrafopredeter"/>
    <w:link w:val="Prrafodelista"/>
    <w:uiPriority w:val="34"/>
    <w:qFormat/>
    <w:rsid w:val="005B0A6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05334517860021E-2"/>
          <c:y val="9.8800282286520824E-2"/>
          <c:w val="0.89334378957867311"/>
          <c:h val="0.6050055846053823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Centros con alojamiento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78.94736842105263</c:v>
                </c:pt>
                <c:pt idx="1">
                  <c:v>84.21052631578948</c:v>
                </c:pt>
                <c:pt idx="2">
                  <c:v>94.444444444444443</c:v>
                </c:pt>
                <c:pt idx="3">
                  <c:v>69.565217391304344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2-47AB-9596-1CD4CCB09A8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Comedores sociales</c:v>
                </c:pt>
              </c:strCache>
            </c:strRef>
          </c:tx>
          <c:spPr>
            <a:solidFill>
              <a:srgbClr val="C00000">
                <a:alpha val="62000"/>
              </a:srgbClr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General</c:formatCode>
                <c:ptCount val="5"/>
                <c:pt idx="0">
                  <c:v>10.5</c:v>
                </c:pt>
                <c:pt idx="1">
                  <c:v>10.5</c:v>
                </c:pt>
                <c:pt idx="2">
                  <c:v>5.6</c:v>
                </c:pt>
                <c:pt idx="3">
                  <c:v>17.399999999999999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42-47AB-9596-1CD4CCB09A8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Centros de día/Taller ocupacional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General</c:formatCode>
                <c:ptCount val="5"/>
                <c:pt idx="0">
                  <c:v>5.3</c:v>
                </c:pt>
                <c:pt idx="1">
                  <c:v>5.3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42-47AB-9596-1CD4CCB09A8B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Hoja1!$E$2:$E$6</c:f>
              <c:numCache>
                <c:formatCode>General</c:formatCode>
                <c:ptCount val="5"/>
                <c:pt idx="0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42-47AB-9596-1CD4CCB09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699584"/>
        <c:axId val="256213376"/>
      </c:barChart>
      <c:catAx>
        <c:axId val="25569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898989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 Nova Light" panose="020B0304020202020204"/>
                <a:ea typeface="+mn-ea"/>
                <a:cs typeface="+mn-cs"/>
              </a:defRPr>
            </a:pPr>
            <a:endParaRPr lang="es-ES"/>
          </a:p>
        </c:txPr>
        <c:crossAx val="256213376"/>
        <c:crosses val="autoZero"/>
        <c:auto val="1"/>
        <c:lblAlgn val="ctr"/>
        <c:lblOffset val="100"/>
        <c:noMultiLvlLbl val="0"/>
      </c:catAx>
      <c:valAx>
        <c:axId val="2562133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3175">
            <a:solidFill>
              <a:srgbClr val="898989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 Nova Light" panose="020B0304020202020204"/>
                <a:ea typeface="+mn-ea"/>
                <a:cs typeface="+mn-cs"/>
              </a:defRPr>
            </a:pPr>
            <a:endParaRPr lang="es-ES"/>
          </a:p>
        </c:txPr>
        <c:crossAx val="25569958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 Nova Light" panose="020B0304020202020204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 Nova Light" panose="020B0304020202020204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3037</Characters>
  <Application>Microsoft Office Word</Application>
  <DocSecurity>0</DocSecurity>
  <Lines>337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9</cp:revision>
  <dcterms:created xsi:type="dcterms:W3CDTF">2024-06-18T06:17:00Z</dcterms:created>
  <dcterms:modified xsi:type="dcterms:W3CDTF">2024-07-19T08:39:00Z</dcterms:modified>
</cp:coreProperties>
</file>