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2841" w14:textId="7BAD69A6" w:rsidR="00DB07BA" w:rsidRDefault="00C56D21" w:rsidP="009944FC">
      <w:pPr>
        <w:spacing w:line="360" w:lineRule="auto"/>
        <w:ind w:firstLine="708"/>
        <w:jc w:val="both"/>
        <w:rPr>
          <w:rFonts w:ascii="Arial" w:hAnsi="Arial" w:cs="Arial"/>
          <w:sz w:val="24"/>
          <w:szCs w:val="24"/>
        </w:rPr>
      </w:pPr>
      <w:r w:rsidRPr="00896DC7">
        <w:rPr>
          <w:rFonts w:ascii="Arial" w:hAnsi="Arial" w:cs="Arial"/>
          <w:sz w:val="24"/>
          <w:szCs w:val="24"/>
        </w:rPr>
        <w:t xml:space="preserve">La </w:t>
      </w:r>
      <w:r>
        <w:rPr>
          <w:rFonts w:ascii="Arial" w:hAnsi="Arial" w:cs="Arial"/>
          <w:sz w:val="24"/>
          <w:szCs w:val="24"/>
        </w:rPr>
        <w:t>Consejera de Interior, Función Pública y J</w:t>
      </w:r>
      <w:r w:rsidRPr="00896DC7">
        <w:rPr>
          <w:rFonts w:ascii="Arial" w:hAnsi="Arial" w:cs="Arial"/>
          <w:sz w:val="24"/>
          <w:szCs w:val="24"/>
        </w:rPr>
        <w:t xml:space="preserve">usticia del Gobierno de Navarra, en relación con la pregunta para su contestación por escrito formulada por el Parlamentario Foral Ilmo. Sr. D. </w:t>
      </w:r>
      <w:r w:rsidR="009944FC" w:rsidRPr="009944FC">
        <w:rPr>
          <w:rFonts w:ascii="Arial" w:hAnsi="Arial" w:cs="Arial"/>
          <w:sz w:val="24"/>
          <w:szCs w:val="24"/>
        </w:rPr>
        <w:t xml:space="preserve">Adolfo </w:t>
      </w:r>
      <w:proofErr w:type="spellStart"/>
      <w:r w:rsidR="009944FC" w:rsidRPr="009944FC">
        <w:rPr>
          <w:rFonts w:ascii="Arial" w:hAnsi="Arial" w:cs="Arial"/>
          <w:sz w:val="24"/>
          <w:szCs w:val="24"/>
        </w:rPr>
        <w:t>Araiz</w:t>
      </w:r>
      <w:proofErr w:type="spellEnd"/>
      <w:r w:rsidR="009944FC" w:rsidRPr="009944FC">
        <w:rPr>
          <w:rFonts w:ascii="Arial" w:hAnsi="Arial" w:cs="Arial"/>
          <w:sz w:val="24"/>
          <w:szCs w:val="24"/>
        </w:rPr>
        <w:t xml:space="preserve"> </w:t>
      </w:r>
      <w:proofErr w:type="spellStart"/>
      <w:r w:rsidR="009944FC" w:rsidRPr="009944FC">
        <w:rPr>
          <w:rFonts w:ascii="Arial" w:hAnsi="Arial" w:cs="Arial"/>
          <w:sz w:val="24"/>
          <w:szCs w:val="24"/>
        </w:rPr>
        <w:t>Flamarique</w:t>
      </w:r>
      <w:proofErr w:type="spellEnd"/>
      <w:r w:rsidRPr="00896DC7">
        <w:rPr>
          <w:rFonts w:ascii="Arial" w:hAnsi="Arial" w:cs="Arial"/>
          <w:sz w:val="24"/>
          <w:szCs w:val="24"/>
        </w:rPr>
        <w:t xml:space="preserve">, miembro de las Cortes de Navarra, </w:t>
      </w:r>
      <w:r>
        <w:rPr>
          <w:rFonts w:ascii="Arial" w:hAnsi="Arial" w:cs="Arial"/>
          <w:sz w:val="24"/>
          <w:szCs w:val="24"/>
        </w:rPr>
        <w:t>adscrito al</w:t>
      </w:r>
      <w:r w:rsidRPr="00896DC7">
        <w:rPr>
          <w:rFonts w:ascii="Arial" w:hAnsi="Arial" w:cs="Arial"/>
          <w:sz w:val="24"/>
          <w:szCs w:val="24"/>
        </w:rPr>
        <w:t xml:space="preserve"> Grupo Parlamentario </w:t>
      </w:r>
      <w:r w:rsidR="009944FC" w:rsidRPr="009944FC">
        <w:rPr>
          <w:rFonts w:ascii="Arial" w:hAnsi="Arial" w:cs="Arial"/>
          <w:sz w:val="24"/>
          <w:szCs w:val="24"/>
        </w:rPr>
        <w:t>E</w:t>
      </w:r>
      <w:r w:rsidR="00945813">
        <w:rPr>
          <w:rFonts w:ascii="Arial" w:hAnsi="Arial" w:cs="Arial"/>
          <w:sz w:val="24"/>
          <w:szCs w:val="24"/>
        </w:rPr>
        <w:t>.</w:t>
      </w:r>
      <w:r w:rsidR="009944FC" w:rsidRPr="009944FC">
        <w:rPr>
          <w:rFonts w:ascii="Arial" w:hAnsi="Arial" w:cs="Arial"/>
          <w:sz w:val="24"/>
          <w:szCs w:val="24"/>
        </w:rPr>
        <w:t>H</w:t>
      </w:r>
      <w:r w:rsidR="00945813">
        <w:rPr>
          <w:rFonts w:ascii="Arial" w:hAnsi="Arial" w:cs="Arial"/>
          <w:sz w:val="24"/>
          <w:szCs w:val="24"/>
        </w:rPr>
        <w:t>.</w:t>
      </w:r>
      <w:r w:rsidR="009944FC" w:rsidRPr="009944FC">
        <w:rPr>
          <w:rFonts w:ascii="Arial" w:hAnsi="Arial" w:cs="Arial"/>
          <w:sz w:val="24"/>
          <w:szCs w:val="24"/>
        </w:rPr>
        <w:t xml:space="preserve"> </w:t>
      </w:r>
      <w:r w:rsidR="0001119B" w:rsidRPr="009944FC">
        <w:rPr>
          <w:rFonts w:ascii="Arial" w:hAnsi="Arial" w:cs="Arial"/>
          <w:sz w:val="24"/>
          <w:szCs w:val="24"/>
        </w:rPr>
        <w:t>Bildu</w:t>
      </w:r>
      <w:r w:rsidR="0001119B">
        <w:rPr>
          <w:rFonts w:ascii="Arial" w:hAnsi="Arial" w:cs="Arial"/>
          <w:sz w:val="24"/>
          <w:szCs w:val="24"/>
        </w:rPr>
        <w:t xml:space="preserve"> </w:t>
      </w:r>
      <w:r w:rsidR="0001119B" w:rsidRPr="009944FC">
        <w:rPr>
          <w:rFonts w:ascii="Arial" w:hAnsi="Arial" w:cs="Arial"/>
          <w:sz w:val="24"/>
          <w:szCs w:val="24"/>
        </w:rPr>
        <w:t>Nafarroa</w:t>
      </w:r>
      <w:r w:rsidR="0001119B" w:rsidRPr="00896DC7">
        <w:rPr>
          <w:rFonts w:ascii="Arial" w:hAnsi="Arial" w:cs="Arial"/>
          <w:sz w:val="24"/>
          <w:szCs w:val="24"/>
        </w:rPr>
        <w:t xml:space="preserve">, </w:t>
      </w:r>
      <w:r w:rsidRPr="00896DC7">
        <w:rPr>
          <w:rFonts w:ascii="Arial" w:hAnsi="Arial" w:cs="Arial"/>
          <w:sz w:val="24"/>
          <w:szCs w:val="24"/>
        </w:rPr>
        <w:t>al amparo de lo dispuesto en el Reglamento de la Cámara, realiza la</w:t>
      </w:r>
      <w:r w:rsidR="009944FC">
        <w:rPr>
          <w:rFonts w:ascii="Arial" w:hAnsi="Arial" w:cs="Arial"/>
          <w:sz w:val="24"/>
          <w:szCs w:val="24"/>
        </w:rPr>
        <w:t>s</w:t>
      </w:r>
      <w:r w:rsidRPr="00896DC7">
        <w:rPr>
          <w:rFonts w:ascii="Arial" w:hAnsi="Arial" w:cs="Arial"/>
          <w:sz w:val="24"/>
          <w:szCs w:val="24"/>
        </w:rPr>
        <w:t xml:space="preserve"> siguiente</w:t>
      </w:r>
      <w:r w:rsidR="009944FC">
        <w:rPr>
          <w:rFonts w:ascii="Arial" w:hAnsi="Arial" w:cs="Arial"/>
          <w:sz w:val="24"/>
          <w:szCs w:val="24"/>
        </w:rPr>
        <w:t>s</w:t>
      </w:r>
      <w:r w:rsidRPr="00896DC7">
        <w:rPr>
          <w:rFonts w:ascii="Arial" w:hAnsi="Arial" w:cs="Arial"/>
          <w:sz w:val="24"/>
          <w:szCs w:val="24"/>
        </w:rPr>
        <w:t xml:space="preserve"> pregunta</w:t>
      </w:r>
      <w:r w:rsidR="009944FC">
        <w:rPr>
          <w:rFonts w:ascii="Arial" w:hAnsi="Arial" w:cs="Arial"/>
          <w:sz w:val="24"/>
          <w:szCs w:val="24"/>
        </w:rPr>
        <w:t>s</w:t>
      </w:r>
      <w:r w:rsidRPr="00896DC7">
        <w:rPr>
          <w:rFonts w:ascii="Arial" w:hAnsi="Arial" w:cs="Arial"/>
          <w:sz w:val="24"/>
          <w:szCs w:val="24"/>
        </w:rPr>
        <w:t xml:space="preserve"> escrita</w:t>
      </w:r>
      <w:r w:rsidR="009944FC">
        <w:rPr>
          <w:rFonts w:ascii="Arial" w:hAnsi="Arial" w:cs="Arial"/>
          <w:sz w:val="24"/>
          <w:szCs w:val="24"/>
        </w:rPr>
        <w:t>s</w:t>
      </w:r>
      <w:r w:rsidRPr="00896DC7">
        <w:rPr>
          <w:rFonts w:ascii="Arial" w:hAnsi="Arial" w:cs="Arial"/>
          <w:sz w:val="24"/>
          <w:szCs w:val="24"/>
        </w:rPr>
        <w:t xml:space="preserve"> al Gobierno de Navarra</w:t>
      </w:r>
      <w:r w:rsidR="009944FC">
        <w:rPr>
          <w:rFonts w:ascii="Arial" w:hAnsi="Arial" w:cs="Arial"/>
          <w:sz w:val="24"/>
          <w:szCs w:val="24"/>
        </w:rPr>
        <w:t xml:space="preserve"> </w:t>
      </w:r>
      <w:r w:rsidR="009944FC" w:rsidRPr="009944FC">
        <w:rPr>
          <w:rFonts w:ascii="Arial" w:hAnsi="Arial" w:cs="Arial"/>
          <w:sz w:val="24"/>
          <w:szCs w:val="24"/>
        </w:rPr>
        <w:t>(11-24/PES</w:t>
      </w:r>
      <w:r w:rsidR="00373CDD">
        <w:rPr>
          <w:rFonts w:ascii="Arial" w:hAnsi="Arial" w:cs="Arial"/>
          <w:sz w:val="24"/>
          <w:szCs w:val="24"/>
        </w:rPr>
        <w:t>-00279</w:t>
      </w:r>
      <w:r w:rsidR="009944FC" w:rsidRPr="009944FC">
        <w:rPr>
          <w:rFonts w:ascii="Arial" w:hAnsi="Arial" w:cs="Arial"/>
          <w:sz w:val="24"/>
          <w:szCs w:val="24"/>
        </w:rPr>
        <w:t>)</w:t>
      </w:r>
      <w:r w:rsidR="009944FC">
        <w:rPr>
          <w:rFonts w:ascii="Arial" w:hAnsi="Arial" w:cs="Arial"/>
          <w:sz w:val="24"/>
          <w:szCs w:val="24"/>
        </w:rPr>
        <w:t xml:space="preserve"> e</w:t>
      </w:r>
      <w:r w:rsidR="009944FC" w:rsidRPr="009944FC">
        <w:rPr>
          <w:rFonts w:ascii="Arial" w:hAnsi="Arial" w:cs="Arial"/>
          <w:sz w:val="24"/>
          <w:szCs w:val="24"/>
        </w:rPr>
        <w:t xml:space="preserve"> informa lo siguiente:</w:t>
      </w:r>
    </w:p>
    <w:p w14:paraId="6D266A89" w14:textId="1DDC8E5C"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t>¿</w:t>
      </w:r>
      <w:r w:rsidR="00373CDD">
        <w:rPr>
          <w:rFonts w:ascii="Arial" w:hAnsi="Arial" w:cs="Arial"/>
          <w:sz w:val="24"/>
          <w:szCs w:val="24"/>
        </w:rPr>
        <w:t>Cuántas personas que han participado en esos procesos de estabilización en los mismos tenían la condición de personas laborales indefinidas no fijas</w:t>
      </w:r>
      <w:r w:rsidRPr="009944FC">
        <w:rPr>
          <w:rFonts w:ascii="Arial" w:hAnsi="Arial" w:cs="Arial"/>
          <w:sz w:val="24"/>
          <w:szCs w:val="24"/>
        </w:rPr>
        <w:t>?</w:t>
      </w:r>
    </w:p>
    <w:p w14:paraId="0C13144D" w14:textId="77777777" w:rsidR="00DB07BA" w:rsidRDefault="00373CDD" w:rsidP="00336E50">
      <w:pPr>
        <w:pStyle w:val="Prrafodelista"/>
        <w:spacing w:line="360" w:lineRule="auto"/>
        <w:ind w:left="709" w:firstLine="425"/>
        <w:jc w:val="both"/>
        <w:rPr>
          <w:rFonts w:ascii="Arial" w:hAnsi="Arial" w:cs="Arial"/>
          <w:sz w:val="24"/>
          <w:szCs w:val="24"/>
        </w:rPr>
      </w:pPr>
      <w:r w:rsidRPr="00373CDD">
        <w:rPr>
          <w:rFonts w:ascii="Arial" w:hAnsi="Arial" w:cs="Arial"/>
          <w:sz w:val="24"/>
          <w:szCs w:val="24"/>
        </w:rPr>
        <w:t>El número de personas laborales indefinidas no fijas que han participado en procesos de estabilización es 232.</w:t>
      </w:r>
    </w:p>
    <w:p w14:paraId="3AF118AA" w14:textId="1E6B0E5F"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t>¿</w:t>
      </w:r>
      <w:r w:rsidR="00373CDD">
        <w:rPr>
          <w:rFonts w:ascii="Arial" w:hAnsi="Arial" w:cs="Arial"/>
          <w:sz w:val="24"/>
          <w:szCs w:val="24"/>
        </w:rPr>
        <w:t>Cuántas de esas personas que tenían esa condición no han obtenido plaza en los procesos de estabilización reseñados</w:t>
      </w:r>
      <w:r w:rsidRPr="009944FC">
        <w:rPr>
          <w:rFonts w:ascii="Arial" w:hAnsi="Arial" w:cs="Arial"/>
          <w:sz w:val="24"/>
          <w:szCs w:val="24"/>
        </w:rPr>
        <w:t>?</w:t>
      </w:r>
    </w:p>
    <w:p w14:paraId="0B7C0AA3" w14:textId="77777777" w:rsidR="00DB07BA" w:rsidRDefault="00373CDD" w:rsidP="00336E50">
      <w:pPr>
        <w:pStyle w:val="Prrafodelista"/>
        <w:spacing w:line="360" w:lineRule="auto"/>
        <w:ind w:left="709" w:firstLine="425"/>
        <w:jc w:val="both"/>
        <w:rPr>
          <w:rFonts w:ascii="Arial" w:hAnsi="Arial" w:cs="Arial"/>
          <w:sz w:val="24"/>
          <w:szCs w:val="24"/>
        </w:rPr>
      </w:pPr>
      <w:r w:rsidRPr="00373CDD">
        <w:rPr>
          <w:rFonts w:ascii="Arial" w:hAnsi="Arial" w:cs="Arial"/>
          <w:sz w:val="24"/>
          <w:szCs w:val="24"/>
        </w:rPr>
        <w:t>Las personas laborales indefinidas no fijas que no han obtenido plaza en procesos de estabilización finalizados son 78.</w:t>
      </w:r>
    </w:p>
    <w:p w14:paraId="53220B86" w14:textId="52FE93E1" w:rsidR="009944FC" w:rsidRDefault="009944FC" w:rsidP="00336E50">
      <w:pPr>
        <w:pStyle w:val="Prrafodelista"/>
        <w:numPr>
          <w:ilvl w:val="0"/>
          <w:numId w:val="1"/>
        </w:numPr>
        <w:spacing w:line="360" w:lineRule="auto"/>
        <w:ind w:left="709" w:firstLine="425"/>
        <w:jc w:val="both"/>
        <w:rPr>
          <w:rFonts w:ascii="Arial" w:hAnsi="Arial" w:cs="Arial"/>
          <w:sz w:val="24"/>
          <w:szCs w:val="24"/>
        </w:rPr>
      </w:pPr>
      <w:r w:rsidRPr="009944FC">
        <w:rPr>
          <w:rFonts w:ascii="Arial" w:hAnsi="Arial" w:cs="Arial"/>
          <w:sz w:val="24"/>
          <w:szCs w:val="24"/>
        </w:rPr>
        <w:t>¿</w:t>
      </w:r>
      <w:r w:rsidR="00373CDD">
        <w:rPr>
          <w:rFonts w:ascii="Arial" w:hAnsi="Arial" w:cs="Arial"/>
          <w:sz w:val="24"/>
          <w:szCs w:val="24"/>
        </w:rPr>
        <w:t>Qué importe medio han recibido como indemnización las personas que no han obtenido plaza y tenían derecho a ello</w:t>
      </w:r>
      <w:r w:rsidRPr="009944FC">
        <w:rPr>
          <w:rFonts w:ascii="Arial" w:hAnsi="Arial" w:cs="Arial"/>
          <w:sz w:val="24"/>
          <w:szCs w:val="24"/>
        </w:rPr>
        <w:t xml:space="preserve">? </w:t>
      </w:r>
    </w:p>
    <w:p w14:paraId="0B65ACBB" w14:textId="77777777" w:rsidR="00DB07BA" w:rsidRDefault="00373CDD" w:rsidP="00336E50">
      <w:pPr>
        <w:pStyle w:val="Prrafodelista"/>
        <w:spacing w:line="360" w:lineRule="auto"/>
        <w:ind w:left="709" w:firstLine="425"/>
        <w:jc w:val="both"/>
        <w:rPr>
          <w:rFonts w:ascii="Arial" w:hAnsi="Arial" w:cs="Arial"/>
          <w:sz w:val="24"/>
          <w:szCs w:val="24"/>
        </w:rPr>
      </w:pPr>
      <w:r w:rsidRPr="00373CDD">
        <w:rPr>
          <w:rFonts w:ascii="Arial" w:hAnsi="Arial" w:cs="Arial"/>
          <w:sz w:val="24"/>
          <w:szCs w:val="24"/>
        </w:rPr>
        <w:t>El importe medio de indemnización a personas indefinidas no fijas que han finalizado contrato por estabilización es 21.295,73</w:t>
      </w:r>
      <w:r w:rsidR="0001119B">
        <w:rPr>
          <w:rFonts w:ascii="Arial" w:hAnsi="Arial" w:cs="Arial"/>
          <w:sz w:val="24"/>
          <w:szCs w:val="24"/>
        </w:rPr>
        <w:t xml:space="preserve"> </w:t>
      </w:r>
      <w:r w:rsidRPr="00373CDD">
        <w:rPr>
          <w:rFonts w:ascii="Arial" w:hAnsi="Arial" w:cs="Arial"/>
          <w:sz w:val="24"/>
          <w:szCs w:val="24"/>
        </w:rPr>
        <w:t>€</w:t>
      </w:r>
      <w:r>
        <w:rPr>
          <w:rFonts w:ascii="Arial" w:hAnsi="Arial" w:cs="Arial"/>
          <w:sz w:val="24"/>
          <w:szCs w:val="24"/>
        </w:rPr>
        <w:t>.</w:t>
      </w:r>
    </w:p>
    <w:p w14:paraId="1F367ED4" w14:textId="30B0D845" w:rsidR="00373CDD" w:rsidRDefault="00373CDD" w:rsidP="00373CDD">
      <w:pPr>
        <w:pStyle w:val="Prrafodelista"/>
        <w:numPr>
          <w:ilvl w:val="0"/>
          <w:numId w:val="1"/>
        </w:numPr>
        <w:spacing w:line="360" w:lineRule="auto"/>
        <w:ind w:left="709" w:firstLine="425"/>
        <w:jc w:val="both"/>
        <w:rPr>
          <w:rFonts w:ascii="Arial" w:hAnsi="Arial" w:cs="Arial"/>
          <w:sz w:val="24"/>
          <w:szCs w:val="24"/>
        </w:rPr>
      </w:pPr>
      <w:r>
        <w:rPr>
          <w:rFonts w:ascii="Arial" w:hAnsi="Arial" w:cs="Arial"/>
          <w:sz w:val="24"/>
          <w:szCs w:val="24"/>
        </w:rPr>
        <w:t>¿Qué duración media como laborales indefinidos no fijos ha tenido la relación laboral con la Administración?</w:t>
      </w:r>
    </w:p>
    <w:p w14:paraId="5B788B74" w14:textId="77777777" w:rsidR="00DB07BA" w:rsidRDefault="00CD08E7" w:rsidP="00CD08E7">
      <w:pPr>
        <w:pStyle w:val="Prrafodelista"/>
        <w:spacing w:line="360" w:lineRule="auto"/>
        <w:ind w:left="709" w:firstLine="425"/>
        <w:jc w:val="both"/>
        <w:rPr>
          <w:rFonts w:ascii="Arial" w:hAnsi="Arial" w:cs="Arial"/>
          <w:sz w:val="24"/>
          <w:szCs w:val="24"/>
        </w:rPr>
      </w:pPr>
      <w:r>
        <w:rPr>
          <w:rFonts w:ascii="Arial" w:hAnsi="Arial" w:cs="Arial"/>
          <w:sz w:val="24"/>
          <w:szCs w:val="24"/>
        </w:rPr>
        <w:t xml:space="preserve">De las personas indemnizadas en el apartado anterior, la duración media de la relación laboral con la Administración como laborales indefinidos no fijos han sido de 3.921,49 días. </w:t>
      </w:r>
    </w:p>
    <w:p w14:paraId="5138D24F" w14:textId="56A0375B" w:rsidR="00373CDD" w:rsidRDefault="00CD08E7" w:rsidP="00373CDD">
      <w:pPr>
        <w:pStyle w:val="Prrafodelista"/>
        <w:numPr>
          <w:ilvl w:val="0"/>
          <w:numId w:val="1"/>
        </w:numPr>
        <w:spacing w:line="360" w:lineRule="auto"/>
        <w:ind w:left="709" w:firstLine="425"/>
        <w:jc w:val="both"/>
        <w:rPr>
          <w:rFonts w:ascii="Arial" w:hAnsi="Arial" w:cs="Arial"/>
          <w:sz w:val="24"/>
          <w:szCs w:val="24"/>
        </w:rPr>
      </w:pPr>
      <w:r>
        <w:rPr>
          <w:rFonts w:ascii="Arial" w:hAnsi="Arial" w:cs="Arial"/>
          <w:sz w:val="24"/>
          <w:szCs w:val="24"/>
        </w:rPr>
        <w:t xml:space="preserve">¿La sentencia dictada por el Tribunal de Justicia de la Unión Europea el pasado 22 de febrero de 2024, en los asuntos acumulados C-59/22, C-110/22 y C-159/22, </w:t>
      </w:r>
      <w:proofErr w:type="gramStart"/>
      <w:r>
        <w:rPr>
          <w:rFonts w:ascii="Arial" w:hAnsi="Arial" w:cs="Arial"/>
          <w:sz w:val="24"/>
          <w:szCs w:val="24"/>
        </w:rPr>
        <w:t>es de aplicación</w:t>
      </w:r>
      <w:proofErr w:type="gramEnd"/>
      <w:r>
        <w:rPr>
          <w:rFonts w:ascii="Arial" w:hAnsi="Arial" w:cs="Arial"/>
          <w:sz w:val="24"/>
          <w:szCs w:val="24"/>
        </w:rPr>
        <w:t xml:space="preserve"> a la situación de estas personas que han dejado de tener relación laboral con la Administración Foral?</w:t>
      </w:r>
    </w:p>
    <w:p w14:paraId="785373EB" w14:textId="77777777" w:rsidR="00DB07BA" w:rsidRDefault="00CD08E7" w:rsidP="00336E50">
      <w:pPr>
        <w:pStyle w:val="Prrafodelista"/>
        <w:spacing w:line="360" w:lineRule="auto"/>
        <w:ind w:left="709" w:firstLine="425"/>
        <w:jc w:val="both"/>
        <w:rPr>
          <w:rFonts w:ascii="Arial" w:hAnsi="Arial" w:cs="Arial"/>
          <w:sz w:val="24"/>
          <w:szCs w:val="24"/>
        </w:rPr>
      </w:pPr>
      <w:r>
        <w:rPr>
          <w:rFonts w:ascii="Arial" w:hAnsi="Arial" w:cs="Arial"/>
          <w:sz w:val="24"/>
          <w:szCs w:val="24"/>
        </w:rPr>
        <w:t xml:space="preserve">En la propia sentencia, la Sala Sexta del Tribunal de Justicia de la Unión Europea declara que un trabajador indefinido no fijo debe considerarse un </w:t>
      </w:r>
      <w:r>
        <w:rPr>
          <w:rFonts w:ascii="Arial" w:hAnsi="Arial" w:cs="Arial"/>
          <w:sz w:val="24"/>
          <w:szCs w:val="24"/>
        </w:rPr>
        <w:lastRenderedPageBreak/>
        <w:t xml:space="preserve">trabajador con contrato de duración determinada a efectos del Acuerdo Marco sobre el trabajo de duración determinada incluido como Anexo en la Directiva 1999/70/CE. </w:t>
      </w:r>
    </w:p>
    <w:p w14:paraId="1A4428B0" w14:textId="3A8AC279" w:rsidR="00CD08E7" w:rsidRDefault="00CD08E7" w:rsidP="00CD08E7">
      <w:pPr>
        <w:pStyle w:val="Prrafodelista"/>
        <w:numPr>
          <w:ilvl w:val="0"/>
          <w:numId w:val="1"/>
        </w:numPr>
        <w:spacing w:line="360" w:lineRule="auto"/>
        <w:ind w:left="709" w:firstLine="425"/>
        <w:jc w:val="both"/>
        <w:rPr>
          <w:rFonts w:ascii="Arial" w:hAnsi="Arial" w:cs="Arial"/>
          <w:sz w:val="24"/>
          <w:szCs w:val="24"/>
        </w:rPr>
      </w:pPr>
      <w:r>
        <w:rPr>
          <w:rFonts w:ascii="Arial" w:hAnsi="Arial" w:cs="Arial"/>
          <w:sz w:val="24"/>
          <w:szCs w:val="24"/>
        </w:rPr>
        <w:t>¿Con qué alcance?</w:t>
      </w:r>
    </w:p>
    <w:p w14:paraId="43D99B43" w14:textId="77777777" w:rsidR="00CD08E7" w:rsidRPr="00CD08E7"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El apartado 124 de la Sentencia del TJUE se pronuncia de la siguiente forma:</w:t>
      </w:r>
    </w:p>
    <w:p w14:paraId="0E264371" w14:textId="77777777" w:rsidR="00CD08E7"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“A este respecto, de reiterada jurisprudencia se deriva que la cláusula 5 del Acuerdo Marco no impone a los Estados miembros la obligación de convertir en contratos por tiempo indefinido los contratos de trabajo de duración determinada ni, como se menciona en el apartado 103 de la presente sentencia, enuncia sanciones específicas en caso de que se compruebe la existencia de abusos”.</w:t>
      </w:r>
    </w:p>
    <w:p w14:paraId="6CF60151" w14:textId="77777777" w:rsidR="00CD08E7" w:rsidRPr="00CD08E7"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A su vez, el apartado 129 señala:</w:t>
      </w:r>
    </w:p>
    <w:p w14:paraId="349D7444" w14:textId="77777777" w:rsidR="00CD08E7" w:rsidRPr="00CD08E7"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“Procede recordar que el Tribunal de Justicia ha declarado que la cláusula 5, apartado 1, del Acuerdo Marco no</w:t>
      </w:r>
      <w:r>
        <w:rPr>
          <w:rFonts w:ascii="Arial" w:hAnsi="Arial" w:cs="Arial"/>
          <w:sz w:val="24"/>
          <w:szCs w:val="24"/>
        </w:rPr>
        <w:t xml:space="preserve"> </w:t>
      </w:r>
      <w:r w:rsidRPr="00CD08E7">
        <w:rPr>
          <w:rFonts w:ascii="Arial" w:hAnsi="Arial" w:cs="Arial"/>
          <w:sz w:val="24"/>
          <w:szCs w:val="24"/>
        </w:rPr>
        <w:t>es, desde el punto de vista de su contenido, incondicional y suficientemente precisa para que un particular pueda invocarla ante un tribunal nacional. En efecto, en virtud de esta disposición, corresponde a los Estados miembros la facultad de apreciar si, para prevenir la utilización abusiva de contratos de trabajo de duración determinada, recurren a una o varias de las medidas enunciadas en esta cláusula o incluso a medidas legales existentes equivalentes, y ello teniendo en cuenta las necesidades de los distintos sectores o categorías de trabajadores. Además, no es posible determinar suficientemente la protección mínima que debería aplicarse en cualquier caso con arreglo a la cláusula 5, apartado 1, del Acuerdo Marco”.</w:t>
      </w:r>
    </w:p>
    <w:p w14:paraId="178227A7" w14:textId="77777777" w:rsidR="00CD08E7" w:rsidRPr="00CD08E7"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En su apartado final, concluye la Sentencia:</w:t>
      </w:r>
    </w:p>
    <w:p w14:paraId="07A74EDC" w14:textId="77777777" w:rsidR="00DB07BA" w:rsidRDefault="00CD08E7" w:rsidP="00CD08E7">
      <w:pPr>
        <w:pStyle w:val="Prrafodelista"/>
        <w:spacing w:line="360" w:lineRule="auto"/>
        <w:ind w:left="709" w:firstLine="425"/>
        <w:jc w:val="both"/>
        <w:rPr>
          <w:rFonts w:ascii="Arial" w:hAnsi="Arial" w:cs="Arial"/>
          <w:sz w:val="24"/>
          <w:szCs w:val="24"/>
        </w:rPr>
      </w:pPr>
      <w:r w:rsidRPr="00CD08E7">
        <w:rPr>
          <w:rFonts w:ascii="Arial" w:hAnsi="Arial" w:cs="Arial"/>
          <w:sz w:val="24"/>
          <w:szCs w:val="24"/>
        </w:rPr>
        <w:t>“Corresponde, en su caso, al tribunal nacional modificar la jurisprudencia nacional consolidada si esta se basa en una interpretación de las disposiciones nacionales, incluso constitucionales, incompatible con los objetivos de la Directiva 1999/70 y, en particular, de dicha cláusula 5”.</w:t>
      </w:r>
    </w:p>
    <w:p w14:paraId="5D933AFD" w14:textId="77777777" w:rsidR="00562F87" w:rsidRDefault="00994923" w:rsidP="00C109B3">
      <w:pPr>
        <w:pStyle w:val="Default"/>
        <w:spacing w:line="360" w:lineRule="auto"/>
        <w:jc w:val="both"/>
      </w:pPr>
      <w:r>
        <w:lastRenderedPageBreak/>
        <w:t xml:space="preserve">           </w:t>
      </w:r>
      <w:r w:rsidR="00062A1D" w:rsidRPr="00062A1D">
        <w:t xml:space="preserve">Es cuanto tengo el honor de informar en cumplimiento de lo dispuesto en el artículo </w:t>
      </w:r>
      <w:r w:rsidR="00336E50">
        <w:t>2</w:t>
      </w:r>
      <w:r w:rsidR="00062A1D" w:rsidRPr="00062A1D">
        <w:t>15 del Reglamento del Parlamento de Navarra.</w:t>
      </w:r>
    </w:p>
    <w:p w14:paraId="120F7E31" w14:textId="4BA03EBA" w:rsidR="001A2FB7" w:rsidRDefault="00EF1EE8" w:rsidP="0001119B">
      <w:pPr>
        <w:suppressAutoHyphens/>
        <w:spacing w:line="360" w:lineRule="auto"/>
        <w:rPr>
          <w:rFonts w:ascii="Arial" w:hAnsi="Arial" w:cs="Arial"/>
          <w:sz w:val="24"/>
          <w:szCs w:val="24"/>
          <w:lang w:val="es-ES_tradnl" w:eastAsia="ar-SA"/>
        </w:rPr>
      </w:pPr>
      <w:r>
        <w:rPr>
          <w:rFonts w:ascii="Arial" w:hAnsi="Arial" w:cs="Arial"/>
          <w:sz w:val="24"/>
          <w:szCs w:val="24"/>
          <w:lang w:val="es-ES_tradnl" w:eastAsia="ar-SA"/>
        </w:rPr>
        <w:t>P</w:t>
      </w:r>
      <w:r w:rsidR="001A2FB7">
        <w:rPr>
          <w:rFonts w:ascii="Arial" w:hAnsi="Arial" w:cs="Arial"/>
          <w:sz w:val="24"/>
          <w:szCs w:val="24"/>
          <w:lang w:val="es-ES_tradnl" w:eastAsia="ar-SA"/>
        </w:rPr>
        <w:t>amplona</w:t>
      </w:r>
      <w:r w:rsidR="00803AE4">
        <w:rPr>
          <w:rFonts w:ascii="Arial" w:hAnsi="Arial" w:cs="Arial"/>
          <w:sz w:val="24"/>
          <w:szCs w:val="24"/>
          <w:lang w:val="es-ES_tradnl" w:eastAsia="ar-SA"/>
        </w:rPr>
        <w:t>/Iruña</w:t>
      </w:r>
      <w:r w:rsidR="001A2FB7">
        <w:rPr>
          <w:rFonts w:ascii="Arial" w:hAnsi="Arial" w:cs="Arial"/>
          <w:sz w:val="24"/>
          <w:szCs w:val="24"/>
          <w:lang w:val="es-ES_tradnl" w:eastAsia="ar-SA"/>
        </w:rPr>
        <w:t>,</w:t>
      </w:r>
      <w:r w:rsidR="00B00F2E">
        <w:rPr>
          <w:rFonts w:ascii="Arial" w:hAnsi="Arial" w:cs="Arial"/>
          <w:sz w:val="24"/>
          <w:szCs w:val="24"/>
          <w:lang w:val="es-ES_tradnl" w:eastAsia="ar-SA"/>
        </w:rPr>
        <w:t xml:space="preserve"> </w:t>
      </w:r>
      <w:r w:rsidR="006F090D">
        <w:rPr>
          <w:rFonts w:ascii="Arial" w:hAnsi="Arial" w:cs="Arial"/>
          <w:sz w:val="24"/>
          <w:szCs w:val="24"/>
          <w:lang w:val="es-ES_tradnl" w:eastAsia="ar-SA"/>
        </w:rPr>
        <w:t>25</w:t>
      </w:r>
      <w:r w:rsidR="00062A1D">
        <w:rPr>
          <w:rFonts w:ascii="Arial" w:hAnsi="Arial" w:cs="Arial"/>
          <w:sz w:val="24"/>
          <w:szCs w:val="24"/>
          <w:lang w:val="es-ES_tradnl" w:eastAsia="ar-SA"/>
        </w:rPr>
        <w:t xml:space="preserve"> de </w:t>
      </w:r>
      <w:r w:rsidR="00336E50">
        <w:rPr>
          <w:rFonts w:ascii="Arial" w:hAnsi="Arial" w:cs="Arial"/>
          <w:sz w:val="24"/>
          <w:szCs w:val="24"/>
          <w:lang w:val="es-ES_tradnl" w:eastAsia="ar-SA"/>
        </w:rPr>
        <w:t>juni</w:t>
      </w:r>
      <w:r w:rsidR="00062A1D">
        <w:rPr>
          <w:rFonts w:ascii="Arial" w:hAnsi="Arial" w:cs="Arial"/>
          <w:sz w:val="24"/>
          <w:szCs w:val="24"/>
          <w:lang w:val="es-ES_tradnl" w:eastAsia="ar-SA"/>
        </w:rPr>
        <w:t>o</w:t>
      </w:r>
      <w:r w:rsidR="00B00F2E">
        <w:rPr>
          <w:rFonts w:ascii="Arial" w:hAnsi="Arial" w:cs="Arial"/>
          <w:sz w:val="24"/>
          <w:szCs w:val="24"/>
          <w:lang w:val="es-ES_tradnl" w:eastAsia="ar-SA"/>
        </w:rPr>
        <w:t xml:space="preserve"> de 2024 </w:t>
      </w:r>
    </w:p>
    <w:p w14:paraId="765E73C3" w14:textId="77777777" w:rsidR="00562F87" w:rsidRDefault="0001119B" w:rsidP="0001119B">
      <w:pPr>
        <w:suppressAutoHyphens/>
        <w:spacing w:line="360" w:lineRule="auto"/>
        <w:rPr>
          <w:rFonts w:ascii="Arial" w:hAnsi="Arial" w:cs="Arial"/>
          <w:sz w:val="24"/>
          <w:szCs w:val="24"/>
          <w:lang w:val="es-ES_tradnl" w:eastAsia="ar-SA"/>
        </w:rPr>
      </w:pPr>
      <w:r w:rsidRPr="00062A1D">
        <w:rPr>
          <w:rFonts w:ascii="Arial" w:hAnsi="Arial" w:cs="Arial"/>
          <w:sz w:val="24"/>
          <w:szCs w:val="24"/>
          <w:lang w:val="es-ES_tradnl" w:eastAsia="ar-SA"/>
        </w:rPr>
        <w:t xml:space="preserve">La Consejera </w:t>
      </w:r>
      <w:r>
        <w:rPr>
          <w:rFonts w:ascii="Arial" w:hAnsi="Arial" w:cs="Arial"/>
          <w:sz w:val="24"/>
          <w:szCs w:val="24"/>
          <w:lang w:val="es-ES_tradnl" w:eastAsia="ar-SA"/>
        </w:rPr>
        <w:t>d</w:t>
      </w:r>
      <w:r w:rsidRPr="00062A1D">
        <w:rPr>
          <w:rFonts w:ascii="Arial" w:hAnsi="Arial" w:cs="Arial"/>
          <w:sz w:val="24"/>
          <w:szCs w:val="24"/>
          <w:lang w:val="es-ES_tradnl" w:eastAsia="ar-SA"/>
        </w:rPr>
        <w:t>e Interior</w:t>
      </w:r>
      <w:r>
        <w:rPr>
          <w:rFonts w:ascii="Arial" w:hAnsi="Arial" w:cs="Arial"/>
          <w:sz w:val="24"/>
          <w:szCs w:val="24"/>
          <w:lang w:val="es-ES_tradnl" w:eastAsia="ar-SA"/>
        </w:rPr>
        <w:t>,</w:t>
      </w:r>
      <w:r w:rsidRPr="00062A1D">
        <w:rPr>
          <w:rFonts w:ascii="Arial" w:hAnsi="Arial" w:cs="Arial"/>
          <w:sz w:val="24"/>
          <w:szCs w:val="24"/>
          <w:lang w:val="es-ES_tradnl" w:eastAsia="ar-SA"/>
        </w:rPr>
        <w:t xml:space="preserve"> Función Pública </w:t>
      </w:r>
      <w:r>
        <w:rPr>
          <w:rFonts w:ascii="Arial" w:hAnsi="Arial" w:cs="Arial"/>
          <w:sz w:val="24"/>
          <w:szCs w:val="24"/>
          <w:lang w:val="es-ES_tradnl" w:eastAsia="ar-SA"/>
        </w:rPr>
        <w:t>y</w:t>
      </w:r>
      <w:r w:rsidRPr="00062A1D">
        <w:rPr>
          <w:rFonts w:ascii="Arial" w:hAnsi="Arial" w:cs="Arial"/>
          <w:sz w:val="24"/>
          <w:szCs w:val="24"/>
          <w:lang w:val="es-ES_tradnl" w:eastAsia="ar-SA"/>
        </w:rPr>
        <w:t xml:space="preserve"> Justicia</w:t>
      </w:r>
      <w:r>
        <w:rPr>
          <w:rFonts w:ascii="Arial" w:hAnsi="Arial" w:cs="Arial"/>
          <w:sz w:val="24"/>
          <w:szCs w:val="24"/>
          <w:lang w:val="es-ES_tradnl" w:eastAsia="ar-SA"/>
        </w:rPr>
        <w:t xml:space="preserve">: </w:t>
      </w:r>
      <w:r w:rsidR="00062A1D" w:rsidRPr="00062A1D">
        <w:rPr>
          <w:rFonts w:ascii="Arial" w:hAnsi="Arial" w:cs="Arial"/>
          <w:sz w:val="24"/>
          <w:szCs w:val="24"/>
          <w:lang w:val="es-ES_tradnl" w:eastAsia="ar-SA"/>
        </w:rPr>
        <w:t>M</w:t>
      </w:r>
      <w:r>
        <w:rPr>
          <w:rFonts w:ascii="Arial" w:hAnsi="Arial" w:cs="Arial"/>
          <w:sz w:val="24"/>
          <w:szCs w:val="24"/>
          <w:lang w:val="es-ES_tradnl" w:eastAsia="ar-SA"/>
        </w:rPr>
        <w:t>.</w:t>
      </w:r>
      <w:r w:rsidR="00062A1D" w:rsidRPr="00062A1D">
        <w:rPr>
          <w:rFonts w:ascii="Arial" w:hAnsi="Arial" w:cs="Arial"/>
          <w:sz w:val="24"/>
          <w:szCs w:val="24"/>
          <w:lang w:val="es-ES_tradnl" w:eastAsia="ar-SA"/>
        </w:rPr>
        <w:t>ª Amparo López Antelo</w:t>
      </w:r>
    </w:p>
    <w:p w14:paraId="208C04D7" w14:textId="77777777" w:rsidR="00562F87" w:rsidRDefault="00562F87" w:rsidP="001A2FB7">
      <w:pPr>
        <w:suppressAutoHyphens/>
        <w:spacing w:line="360" w:lineRule="auto"/>
        <w:jc w:val="center"/>
        <w:rPr>
          <w:rFonts w:ascii="Arial" w:hAnsi="Arial" w:cs="Arial"/>
          <w:sz w:val="24"/>
          <w:szCs w:val="24"/>
          <w:lang w:val="es-ES_tradnl" w:eastAsia="ar-SA"/>
        </w:rPr>
      </w:pPr>
    </w:p>
    <w:p w14:paraId="0B187B45" w14:textId="0FD09286" w:rsidR="00A2145B" w:rsidRPr="001A2FB7" w:rsidRDefault="00A2145B" w:rsidP="00062A1D"/>
    <w:sectPr w:rsidR="00A2145B" w:rsidRPr="001A2FB7" w:rsidSect="00AC4472">
      <w:headerReference w:type="default" r:id="rId7"/>
      <w:headerReference w:type="first" r:id="rId8"/>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08F30" w14:textId="77777777" w:rsidR="00C649F7" w:rsidRDefault="00C649F7">
      <w:r>
        <w:separator/>
      </w:r>
    </w:p>
  </w:endnote>
  <w:endnote w:type="continuationSeparator" w:id="0">
    <w:p w14:paraId="70B4E0D2" w14:textId="77777777" w:rsidR="00C649F7" w:rsidRDefault="00C6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27AD5" w14:textId="77777777" w:rsidR="00C649F7" w:rsidRDefault="00C649F7">
      <w:r>
        <w:separator/>
      </w:r>
    </w:p>
  </w:footnote>
  <w:footnote w:type="continuationSeparator" w:id="0">
    <w:p w14:paraId="136DC616" w14:textId="77777777" w:rsidR="00C649F7" w:rsidRDefault="00C64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C34D5" w14:textId="3ABC84D4" w:rsidR="00F344C7" w:rsidRDefault="00192064" w:rsidP="00192064">
    <w:pPr>
      <w:pStyle w:val="Encabezado"/>
      <w:tabs>
        <w:tab w:val="left" w:pos="5355"/>
      </w:tabs>
    </w:pPr>
    <w:r>
      <w:tab/>
    </w:r>
  </w:p>
  <w:p w14:paraId="7B73A58B" w14:textId="77777777" w:rsidR="00F344C7" w:rsidRDefault="00F344C7" w:rsidP="00F344C7">
    <w:pPr>
      <w:pStyle w:val="Encabezado"/>
      <w:jc w:val="center"/>
    </w:pPr>
  </w:p>
  <w:p w14:paraId="1EA2C15B"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CFA2" w14:textId="149C883E" w:rsidR="00696F6F" w:rsidRDefault="00696F6F" w:rsidP="00696F6F">
    <w:pPr>
      <w:pStyle w:val="Encabezado"/>
      <w:ind w:left="-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1451B"/>
    <w:multiLevelType w:val="hybridMultilevel"/>
    <w:tmpl w:val="D85CF020"/>
    <w:lvl w:ilvl="0" w:tplc="4F3E57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6D94282C"/>
    <w:multiLevelType w:val="hybridMultilevel"/>
    <w:tmpl w:val="96828440"/>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16cid:durableId="1881891729">
    <w:abstractNumId w:val="0"/>
  </w:num>
  <w:num w:numId="2" w16cid:durableId="97518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1119B"/>
    <w:rsid w:val="000474AB"/>
    <w:rsid w:val="000623C4"/>
    <w:rsid w:val="00062A1D"/>
    <w:rsid w:val="000729E0"/>
    <w:rsid w:val="000742DA"/>
    <w:rsid w:val="0009463A"/>
    <w:rsid w:val="000B64A1"/>
    <w:rsid w:val="00190AB4"/>
    <w:rsid w:val="00192064"/>
    <w:rsid w:val="001A2FB7"/>
    <w:rsid w:val="001B5070"/>
    <w:rsid w:val="00200B50"/>
    <w:rsid w:val="00273425"/>
    <w:rsid w:val="00277C9A"/>
    <w:rsid w:val="002F09C8"/>
    <w:rsid w:val="00336E50"/>
    <w:rsid w:val="00344549"/>
    <w:rsid w:val="00373CDD"/>
    <w:rsid w:val="003A4FD0"/>
    <w:rsid w:val="003C56E1"/>
    <w:rsid w:val="003F1206"/>
    <w:rsid w:val="004151ED"/>
    <w:rsid w:val="00416D65"/>
    <w:rsid w:val="004604DC"/>
    <w:rsid w:val="004B4B56"/>
    <w:rsid w:val="005114E0"/>
    <w:rsid w:val="00517299"/>
    <w:rsid w:val="005367EB"/>
    <w:rsid w:val="00562F87"/>
    <w:rsid w:val="005B095B"/>
    <w:rsid w:val="006908D3"/>
    <w:rsid w:val="00696F6F"/>
    <w:rsid w:val="006A5952"/>
    <w:rsid w:val="006F090D"/>
    <w:rsid w:val="007018B0"/>
    <w:rsid w:val="0072604C"/>
    <w:rsid w:val="00793F61"/>
    <w:rsid w:val="00794754"/>
    <w:rsid w:val="00803AE4"/>
    <w:rsid w:val="008870C3"/>
    <w:rsid w:val="008F7588"/>
    <w:rsid w:val="00943144"/>
    <w:rsid w:val="00945813"/>
    <w:rsid w:val="00945E5D"/>
    <w:rsid w:val="00994342"/>
    <w:rsid w:val="009944FC"/>
    <w:rsid w:val="00994923"/>
    <w:rsid w:val="009E202F"/>
    <w:rsid w:val="009E381E"/>
    <w:rsid w:val="00A077F0"/>
    <w:rsid w:val="00A117E7"/>
    <w:rsid w:val="00A2145B"/>
    <w:rsid w:val="00A357A5"/>
    <w:rsid w:val="00A52259"/>
    <w:rsid w:val="00A62DBB"/>
    <w:rsid w:val="00A76DCB"/>
    <w:rsid w:val="00AB50BD"/>
    <w:rsid w:val="00AC4472"/>
    <w:rsid w:val="00AE76D9"/>
    <w:rsid w:val="00B00F2E"/>
    <w:rsid w:val="00B46857"/>
    <w:rsid w:val="00B662C6"/>
    <w:rsid w:val="00B96F7E"/>
    <w:rsid w:val="00BA7B9D"/>
    <w:rsid w:val="00BD6A02"/>
    <w:rsid w:val="00BE2BD3"/>
    <w:rsid w:val="00BF265F"/>
    <w:rsid w:val="00C109B3"/>
    <w:rsid w:val="00C40353"/>
    <w:rsid w:val="00C56D21"/>
    <w:rsid w:val="00C649F7"/>
    <w:rsid w:val="00CA2943"/>
    <w:rsid w:val="00CB03BC"/>
    <w:rsid w:val="00CC1284"/>
    <w:rsid w:val="00CC459A"/>
    <w:rsid w:val="00CD08E7"/>
    <w:rsid w:val="00DB07BA"/>
    <w:rsid w:val="00DF6784"/>
    <w:rsid w:val="00E51A02"/>
    <w:rsid w:val="00E8181E"/>
    <w:rsid w:val="00EC5374"/>
    <w:rsid w:val="00EF1EE8"/>
    <w:rsid w:val="00EF2A4C"/>
    <w:rsid w:val="00F037C2"/>
    <w:rsid w:val="00F344C7"/>
    <w:rsid w:val="00F4445E"/>
    <w:rsid w:val="00F60195"/>
    <w:rsid w:val="00FE573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31C3BF"/>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C40353"/>
    <w:pPr>
      <w:autoSpaceDE w:val="0"/>
      <w:autoSpaceDN w:val="0"/>
      <w:adjustRightInd w:val="0"/>
    </w:pPr>
    <w:rPr>
      <w:rFonts w:ascii="Arial" w:hAnsi="Arial" w:cs="Arial"/>
      <w:color w:val="000000"/>
      <w:sz w:val="24"/>
      <w:szCs w:val="24"/>
      <w:lang w:val="es-ES"/>
    </w:rPr>
  </w:style>
  <w:style w:type="paragraph" w:styleId="Prrafodelista">
    <w:name w:val="List Paragraph"/>
    <w:basedOn w:val="Normal"/>
    <w:uiPriority w:val="34"/>
    <w:qFormat/>
    <w:rsid w:val="0099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6</cp:revision>
  <cp:lastPrinted>2024-04-30T13:12:00Z</cp:lastPrinted>
  <dcterms:created xsi:type="dcterms:W3CDTF">2024-06-26T06:49:00Z</dcterms:created>
  <dcterms:modified xsi:type="dcterms:W3CDTF">2024-07-22T07:49:00Z</dcterms:modified>
</cp:coreProperties>
</file>