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8C544" w14:textId="71AC909D" w:rsidR="00F65888" w:rsidRPr="00F65888" w:rsidRDefault="00F65888" w:rsidP="00F65888">
      <w:pPr>
        <w:jc w:val="both"/>
        <w:rPr>
          <w:rFonts w:ascii="Calibri" w:hAnsi="Calibri" w:cs="Calibri"/>
          <w:sz w:val="22"/>
          <w:szCs w:val="22"/>
        </w:rPr>
      </w:pPr>
      <w:r w:rsidRPr="00F65888">
        <w:rPr>
          <w:rFonts w:ascii="Calibri" w:hAnsi="Calibri" w:cs="Calibri"/>
          <w:sz w:val="22"/>
          <w:szCs w:val="22"/>
        </w:rPr>
        <w:t>Doña Irene Royo Ortín, miembro de las Cortes de Navarra, adscrita al Grupo Parlamentario Partido Popular de Navarra (PPN), al amparo de lo dispuesto por el Reglamento de la Cámara, presenta la siguiente moción para</w:t>
      </w:r>
      <w:r>
        <w:rPr>
          <w:rFonts w:ascii="Calibri" w:hAnsi="Calibri" w:cs="Calibri"/>
          <w:sz w:val="22"/>
          <w:szCs w:val="22"/>
        </w:rPr>
        <w:t xml:space="preserve"> </w:t>
      </w:r>
      <w:r w:rsidRPr="00F65888">
        <w:rPr>
          <w:rFonts w:ascii="Calibri" w:hAnsi="Calibri" w:cs="Calibri"/>
          <w:sz w:val="22"/>
          <w:szCs w:val="22"/>
        </w:rPr>
        <w:t xml:space="preserve">su debate en </w:t>
      </w:r>
      <w:r>
        <w:rPr>
          <w:rFonts w:ascii="Calibri" w:hAnsi="Calibri" w:cs="Calibri"/>
          <w:sz w:val="22"/>
          <w:szCs w:val="22"/>
        </w:rPr>
        <w:t xml:space="preserve">el </w:t>
      </w:r>
      <w:r w:rsidRPr="00F65888">
        <w:rPr>
          <w:rFonts w:ascii="Calibri" w:hAnsi="Calibri" w:cs="Calibri"/>
          <w:sz w:val="22"/>
          <w:szCs w:val="22"/>
        </w:rPr>
        <w:t>Pleno:</w:t>
      </w:r>
    </w:p>
    <w:p w14:paraId="01442244" w14:textId="2886641A" w:rsidR="00F65888" w:rsidRPr="00F65888" w:rsidRDefault="00F65888" w:rsidP="00F65888">
      <w:pPr>
        <w:jc w:val="both"/>
        <w:rPr>
          <w:rFonts w:ascii="Calibri" w:hAnsi="Calibri" w:cs="Calibri"/>
          <w:sz w:val="22"/>
          <w:szCs w:val="22"/>
        </w:rPr>
      </w:pPr>
      <w:r w:rsidRPr="00F65888">
        <w:rPr>
          <w:rFonts w:ascii="Calibri" w:hAnsi="Calibri" w:cs="Calibri"/>
          <w:sz w:val="22"/>
          <w:szCs w:val="22"/>
        </w:rPr>
        <w:t>En el último trabajo realizado por la Fundación para el Avance de la</w:t>
      </w:r>
      <w:r>
        <w:rPr>
          <w:rFonts w:ascii="Calibri" w:hAnsi="Calibri" w:cs="Calibri"/>
          <w:sz w:val="22"/>
          <w:szCs w:val="22"/>
        </w:rPr>
        <w:t xml:space="preserve"> </w:t>
      </w:r>
      <w:r w:rsidRPr="00F65888">
        <w:rPr>
          <w:rFonts w:ascii="Calibri" w:hAnsi="Calibri" w:cs="Calibri"/>
          <w:sz w:val="22"/>
          <w:szCs w:val="22"/>
        </w:rPr>
        <w:t>Libertad y la Tax Foundation</w:t>
      </w:r>
      <w:r>
        <w:rPr>
          <w:rFonts w:ascii="Calibri" w:hAnsi="Calibri" w:cs="Calibri"/>
          <w:sz w:val="22"/>
          <w:szCs w:val="22"/>
        </w:rPr>
        <w:t>,</w:t>
      </w:r>
      <w:r w:rsidRPr="00F65888">
        <w:rPr>
          <w:rFonts w:ascii="Calibri" w:hAnsi="Calibri" w:cs="Calibri"/>
          <w:sz w:val="22"/>
          <w:szCs w:val="22"/>
        </w:rPr>
        <w:t xml:space="preserve"> donde se analiza la fiscalidad comparando las</w:t>
      </w:r>
      <w:r>
        <w:rPr>
          <w:rFonts w:ascii="Calibri" w:hAnsi="Calibri" w:cs="Calibri"/>
          <w:sz w:val="22"/>
          <w:szCs w:val="22"/>
        </w:rPr>
        <w:t xml:space="preserve"> </w:t>
      </w:r>
      <w:r w:rsidRPr="00F65888">
        <w:rPr>
          <w:rFonts w:ascii="Calibri" w:hAnsi="Calibri" w:cs="Calibri"/>
          <w:sz w:val="22"/>
          <w:szCs w:val="22"/>
        </w:rPr>
        <w:t>comunidades a través de más de sesenta variables relacionadas con cinco</w:t>
      </w:r>
      <w:r>
        <w:rPr>
          <w:rFonts w:ascii="Calibri" w:hAnsi="Calibri" w:cs="Calibri"/>
          <w:sz w:val="22"/>
          <w:szCs w:val="22"/>
        </w:rPr>
        <w:t xml:space="preserve"> </w:t>
      </w:r>
      <w:r w:rsidRPr="00F65888">
        <w:rPr>
          <w:rFonts w:ascii="Calibri" w:hAnsi="Calibri" w:cs="Calibri"/>
          <w:sz w:val="22"/>
          <w:szCs w:val="22"/>
        </w:rPr>
        <w:t>aspectos fiscales clave: el Impuestos sobre la Renta, el Impuesto sobre el</w:t>
      </w:r>
      <w:r>
        <w:rPr>
          <w:rFonts w:ascii="Calibri" w:hAnsi="Calibri" w:cs="Calibri"/>
          <w:sz w:val="22"/>
          <w:szCs w:val="22"/>
        </w:rPr>
        <w:t xml:space="preserve"> </w:t>
      </w:r>
      <w:r w:rsidRPr="00F65888">
        <w:rPr>
          <w:rFonts w:ascii="Calibri" w:hAnsi="Calibri" w:cs="Calibri"/>
          <w:sz w:val="22"/>
          <w:szCs w:val="22"/>
        </w:rPr>
        <w:t>Patrimonio, el Impuesto sobre Sucesiones, los impuestos sobre Transmisiones</w:t>
      </w:r>
      <w:r>
        <w:rPr>
          <w:rFonts w:ascii="Calibri" w:hAnsi="Calibri" w:cs="Calibri"/>
          <w:sz w:val="22"/>
          <w:szCs w:val="22"/>
        </w:rPr>
        <w:t xml:space="preserve"> </w:t>
      </w:r>
      <w:r w:rsidRPr="00F65888">
        <w:rPr>
          <w:rFonts w:ascii="Calibri" w:hAnsi="Calibri" w:cs="Calibri"/>
          <w:sz w:val="22"/>
          <w:szCs w:val="22"/>
        </w:rPr>
        <w:t>Patrimoniales y Actos Jurídicos Documentados y los impuestos autonómicos</w:t>
      </w:r>
      <w:r>
        <w:rPr>
          <w:rFonts w:ascii="Calibri" w:hAnsi="Calibri" w:cs="Calibri"/>
          <w:sz w:val="22"/>
          <w:szCs w:val="22"/>
        </w:rPr>
        <w:t xml:space="preserve"> </w:t>
      </w:r>
      <w:r w:rsidRPr="00F65888">
        <w:rPr>
          <w:rFonts w:ascii="Calibri" w:hAnsi="Calibri" w:cs="Calibri"/>
          <w:sz w:val="22"/>
          <w:szCs w:val="22"/>
        </w:rPr>
        <w:t>propios, Navarra ocupa la última posición en el ranking de competitividad fiscal,</w:t>
      </w:r>
      <w:r>
        <w:rPr>
          <w:rFonts w:ascii="Calibri" w:hAnsi="Calibri" w:cs="Calibri"/>
          <w:sz w:val="22"/>
          <w:szCs w:val="22"/>
        </w:rPr>
        <w:t xml:space="preserve"> </w:t>
      </w:r>
      <w:r w:rsidRPr="00F65888">
        <w:rPr>
          <w:rFonts w:ascii="Calibri" w:hAnsi="Calibri" w:cs="Calibri"/>
          <w:sz w:val="22"/>
          <w:szCs w:val="22"/>
        </w:rPr>
        <w:t>tanto en Renta como en Patrimonio. También ocuparía el último puesto en el</w:t>
      </w:r>
      <w:r>
        <w:rPr>
          <w:rFonts w:ascii="Calibri" w:hAnsi="Calibri" w:cs="Calibri"/>
          <w:sz w:val="22"/>
          <w:szCs w:val="22"/>
        </w:rPr>
        <w:t xml:space="preserve"> </w:t>
      </w:r>
      <w:r w:rsidRPr="00F65888">
        <w:rPr>
          <w:rFonts w:ascii="Calibri" w:hAnsi="Calibri" w:cs="Calibri"/>
          <w:sz w:val="22"/>
          <w:szCs w:val="22"/>
        </w:rPr>
        <w:t xml:space="preserve">Impuesto sobre Sociedades, aunque dicho impuesto no está en el </w:t>
      </w:r>
      <w:r>
        <w:rPr>
          <w:rFonts w:ascii="Calibri" w:hAnsi="Calibri" w:cs="Calibri"/>
          <w:sz w:val="22"/>
          <w:szCs w:val="22"/>
        </w:rPr>
        <w:t>Í</w:t>
      </w:r>
      <w:r w:rsidRPr="00F65888">
        <w:rPr>
          <w:rFonts w:ascii="Calibri" w:hAnsi="Calibri" w:cs="Calibri"/>
          <w:sz w:val="22"/>
          <w:szCs w:val="22"/>
        </w:rPr>
        <w:t>ndice porque</w:t>
      </w:r>
      <w:r>
        <w:rPr>
          <w:rFonts w:ascii="Calibri" w:hAnsi="Calibri" w:cs="Calibri"/>
          <w:sz w:val="22"/>
          <w:szCs w:val="22"/>
        </w:rPr>
        <w:t xml:space="preserve"> </w:t>
      </w:r>
      <w:r w:rsidRPr="00F65888">
        <w:rPr>
          <w:rFonts w:ascii="Calibri" w:hAnsi="Calibri" w:cs="Calibri"/>
          <w:sz w:val="22"/>
          <w:szCs w:val="22"/>
        </w:rPr>
        <w:t>solo el País Vasco y Navarra tienen capacidad normativa sobre Sociedades, ya</w:t>
      </w:r>
      <w:r>
        <w:rPr>
          <w:rFonts w:ascii="Calibri" w:hAnsi="Calibri" w:cs="Calibri"/>
          <w:sz w:val="22"/>
          <w:szCs w:val="22"/>
        </w:rPr>
        <w:t xml:space="preserve"> </w:t>
      </w:r>
      <w:r w:rsidRPr="00F65888">
        <w:rPr>
          <w:rFonts w:ascii="Calibri" w:hAnsi="Calibri" w:cs="Calibri"/>
          <w:sz w:val="22"/>
          <w:szCs w:val="22"/>
        </w:rPr>
        <w:t xml:space="preserve">que la Comunidad </w:t>
      </w:r>
      <w:r>
        <w:rPr>
          <w:rFonts w:ascii="Calibri" w:hAnsi="Calibri" w:cs="Calibri"/>
          <w:sz w:val="22"/>
          <w:szCs w:val="22"/>
        </w:rPr>
        <w:t>F</w:t>
      </w:r>
      <w:r w:rsidRPr="00F65888">
        <w:rPr>
          <w:rFonts w:ascii="Calibri" w:hAnsi="Calibri" w:cs="Calibri"/>
          <w:sz w:val="22"/>
          <w:szCs w:val="22"/>
        </w:rPr>
        <w:t>oral aplica un tipo impositivo sobre las grandes empresas del</w:t>
      </w:r>
      <w:r>
        <w:rPr>
          <w:rFonts w:ascii="Calibri" w:hAnsi="Calibri" w:cs="Calibri"/>
          <w:sz w:val="22"/>
          <w:szCs w:val="22"/>
        </w:rPr>
        <w:t xml:space="preserve"> </w:t>
      </w:r>
      <w:r w:rsidRPr="00F65888">
        <w:rPr>
          <w:rFonts w:ascii="Calibri" w:hAnsi="Calibri" w:cs="Calibri"/>
          <w:sz w:val="22"/>
          <w:szCs w:val="22"/>
        </w:rPr>
        <w:t>28</w:t>
      </w:r>
      <w:r>
        <w:rPr>
          <w:rFonts w:ascii="Calibri" w:hAnsi="Calibri" w:cs="Calibri"/>
          <w:sz w:val="22"/>
          <w:szCs w:val="22"/>
        </w:rPr>
        <w:t xml:space="preserve"> </w:t>
      </w:r>
      <w:r w:rsidRPr="00F65888">
        <w:rPr>
          <w:rFonts w:ascii="Calibri" w:hAnsi="Calibri" w:cs="Calibri"/>
          <w:sz w:val="22"/>
          <w:szCs w:val="22"/>
        </w:rPr>
        <w:t>% cuando en Francia y el resto de España el tipo impositivo es del 25</w:t>
      </w:r>
      <w:r>
        <w:rPr>
          <w:rFonts w:ascii="Calibri" w:hAnsi="Calibri" w:cs="Calibri"/>
          <w:sz w:val="22"/>
          <w:szCs w:val="22"/>
        </w:rPr>
        <w:t xml:space="preserve"> </w:t>
      </w:r>
      <w:r w:rsidRPr="00F65888">
        <w:rPr>
          <w:rFonts w:ascii="Calibri" w:hAnsi="Calibri" w:cs="Calibri"/>
          <w:sz w:val="22"/>
          <w:szCs w:val="22"/>
        </w:rPr>
        <w:t>% y en</w:t>
      </w:r>
      <w:r>
        <w:rPr>
          <w:rFonts w:ascii="Calibri" w:hAnsi="Calibri" w:cs="Calibri"/>
          <w:sz w:val="22"/>
          <w:szCs w:val="22"/>
        </w:rPr>
        <w:t xml:space="preserve"> </w:t>
      </w:r>
      <w:r w:rsidRPr="00F65888">
        <w:rPr>
          <w:rFonts w:ascii="Calibri" w:hAnsi="Calibri" w:cs="Calibri"/>
          <w:sz w:val="22"/>
          <w:szCs w:val="22"/>
        </w:rPr>
        <w:t>el País Vasco del 24</w:t>
      </w:r>
      <w:r>
        <w:rPr>
          <w:rFonts w:ascii="Calibri" w:hAnsi="Calibri" w:cs="Calibri"/>
          <w:sz w:val="22"/>
          <w:szCs w:val="22"/>
        </w:rPr>
        <w:t xml:space="preserve"> </w:t>
      </w:r>
      <w:r w:rsidRPr="00F65888">
        <w:rPr>
          <w:rFonts w:ascii="Calibri" w:hAnsi="Calibri" w:cs="Calibri"/>
          <w:sz w:val="22"/>
          <w:szCs w:val="22"/>
        </w:rPr>
        <w:t>%.</w:t>
      </w:r>
    </w:p>
    <w:p w14:paraId="6C8DC7A1" w14:textId="3B53EF5E" w:rsidR="00F65888" w:rsidRPr="00F65888" w:rsidRDefault="00F65888" w:rsidP="00F65888">
      <w:pPr>
        <w:jc w:val="both"/>
        <w:rPr>
          <w:rFonts w:ascii="Calibri" w:hAnsi="Calibri" w:cs="Calibri"/>
          <w:sz w:val="22"/>
          <w:szCs w:val="22"/>
        </w:rPr>
      </w:pPr>
      <w:r w:rsidRPr="00F65888">
        <w:rPr>
          <w:rFonts w:ascii="Calibri" w:hAnsi="Calibri" w:cs="Calibri"/>
          <w:sz w:val="22"/>
          <w:szCs w:val="22"/>
        </w:rPr>
        <w:t xml:space="preserve">El presidente de la CEN el pasado viernes lamentó </w:t>
      </w:r>
      <w:r w:rsidR="004613A4" w:rsidRPr="00F65888">
        <w:rPr>
          <w:rFonts w:ascii="Calibri" w:hAnsi="Calibri" w:cs="Calibri"/>
          <w:sz w:val="22"/>
          <w:szCs w:val="22"/>
        </w:rPr>
        <w:t>que,</w:t>
      </w:r>
      <w:r w:rsidRPr="00F65888">
        <w:rPr>
          <w:rFonts w:ascii="Calibri" w:hAnsi="Calibri" w:cs="Calibri"/>
          <w:sz w:val="22"/>
          <w:szCs w:val="22"/>
        </w:rPr>
        <w:t xml:space="preserve"> en el </w:t>
      </w:r>
      <w:r w:rsidR="004613A4">
        <w:rPr>
          <w:rFonts w:ascii="Calibri" w:hAnsi="Calibri" w:cs="Calibri"/>
          <w:sz w:val="22"/>
          <w:szCs w:val="22"/>
        </w:rPr>
        <w:t>Í</w:t>
      </w:r>
      <w:r w:rsidRPr="00F65888">
        <w:rPr>
          <w:rFonts w:ascii="Calibri" w:hAnsi="Calibri" w:cs="Calibri"/>
          <w:sz w:val="22"/>
          <w:szCs w:val="22"/>
        </w:rPr>
        <w:t>ndice</w:t>
      </w:r>
      <w:r>
        <w:rPr>
          <w:rFonts w:ascii="Calibri" w:hAnsi="Calibri" w:cs="Calibri"/>
          <w:sz w:val="22"/>
          <w:szCs w:val="22"/>
        </w:rPr>
        <w:t xml:space="preserve"> </w:t>
      </w:r>
      <w:r w:rsidRPr="00F65888">
        <w:rPr>
          <w:rFonts w:ascii="Calibri" w:hAnsi="Calibri" w:cs="Calibri"/>
          <w:sz w:val="22"/>
          <w:szCs w:val="22"/>
        </w:rPr>
        <w:t>regional de competitividad fiscal, que lideran Madrid y las haciendas vascas</w:t>
      </w:r>
      <w:r w:rsidR="00AA6B8A">
        <w:rPr>
          <w:rFonts w:ascii="Calibri" w:hAnsi="Calibri" w:cs="Calibri"/>
          <w:sz w:val="22"/>
          <w:szCs w:val="22"/>
        </w:rPr>
        <w:t xml:space="preserve"> </w:t>
      </w:r>
      <w:r w:rsidRPr="00F65888">
        <w:rPr>
          <w:rFonts w:ascii="Calibri" w:hAnsi="Calibri" w:cs="Calibri"/>
          <w:sz w:val="22"/>
          <w:szCs w:val="22"/>
        </w:rPr>
        <w:t>Navarra ocupe el puesto 14 y dijo: “</w:t>
      </w:r>
      <w:r w:rsidR="00AA6B8A">
        <w:rPr>
          <w:rFonts w:ascii="Calibri" w:hAnsi="Calibri" w:cs="Calibri"/>
          <w:sz w:val="22"/>
          <w:szCs w:val="22"/>
        </w:rPr>
        <w:t>y</w:t>
      </w:r>
      <w:r w:rsidRPr="00F65888">
        <w:rPr>
          <w:rFonts w:ascii="Calibri" w:hAnsi="Calibri" w:cs="Calibri"/>
          <w:sz w:val="22"/>
          <w:szCs w:val="22"/>
        </w:rPr>
        <w:t>o quiero ver mis impuestos y los que se</w:t>
      </w:r>
      <w:r w:rsidR="00AA6B8A">
        <w:rPr>
          <w:rFonts w:ascii="Calibri" w:hAnsi="Calibri" w:cs="Calibri"/>
          <w:sz w:val="22"/>
          <w:szCs w:val="22"/>
        </w:rPr>
        <w:t xml:space="preserve"> </w:t>
      </w:r>
      <w:r w:rsidRPr="00F65888">
        <w:rPr>
          <w:rFonts w:ascii="Calibri" w:hAnsi="Calibri" w:cs="Calibri"/>
          <w:sz w:val="22"/>
          <w:szCs w:val="22"/>
        </w:rPr>
        <w:t>pagan en Gipuzkoa y decir ‘soy igual’, para que empresas que están a 5 metros</w:t>
      </w:r>
      <w:r w:rsidR="00AA6B8A">
        <w:rPr>
          <w:rFonts w:ascii="Calibri" w:hAnsi="Calibri" w:cs="Calibri"/>
          <w:sz w:val="22"/>
          <w:szCs w:val="22"/>
        </w:rPr>
        <w:t xml:space="preserve"> </w:t>
      </w:r>
      <w:r w:rsidRPr="00F65888">
        <w:rPr>
          <w:rFonts w:ascii="Calibri" w:hAnsi="Calibri" w:cs="Calibri"/>
          <w:sz w:val="22"/>
          <w:szCs w:val="22"/>
        </w:rPr>
        <w:t>no decidan dar un paso para allí. Hay que conservar lo que tenemos y atraer</w:t>
      </w:r>
      <w:r w:rsidR="00AA6B8A">
        <w:rPr>
          <w:rFonts w:ascii="Calibri" w:hAnsi="Calibri" w:cs="Calibri"/>
          <w:sz w:val="22"/>
          <w:szCs w:val="22"/>
        </w:rPr>
        <w:t xml:space="preserve"> </w:t>
      </w:r>
      <w:r w:rsidRPr="00F65888">
        <w:rPr>
          <w:rFonts w:ascii="Calibri" w:hAnsi="Calibri" w:cs="Calibri"/>
          <w:sz w:val="22"/>
          <w:szCs w:val="22"/>
        </w:rPr>
        <w:t>todo lo que podamos”.</w:t>
      </w:r>
    </w:p>
    <w:p w14:paraId="1CF9A63C" w14:textId="7A06434F" w:rsidR="00F65888" w:rsidRPr="00F65888" w:rsidRDefault="00F65888" w:rsidP="00F65888">
      <w:pPr>
        <w:jc w:val="both"/>
        <w:rPr>
          <w:rFonts w:ascii="Calibri" w:hAnsi="Calibri" w:cs="Calibri"/>
          <w:sz w:val="22"/>
          <w:szCs w:val="22"/>
        </w:rPr>
      </w:pPr>
      <w:r w:rsidRPr="00F65888">
        <w:rPr>
          <w:rFonts w:ascii="Calibri" w:hAnsi="Calibri" w:cs="Calibri"/>
          <w:sz w:val="22"/>
          <w:szCs w:val="22"/>
        </w:rPr>
        <w:t>Los cambios que Navarra aprobó este año en el Impuesto sobre la Renta</w:t>
      </w:r>
      <w:r w:rsidR="00AA6B8A">
        <w:rPr>
          <w:rFonts w:ascii="Calibri" w:hAnsi="Calibri" w:cs="Calibri"/>
          <w:sz w:val="22"/>
          <w:szCs w:val="22"/>
        </w:rPr>
        <w:t xml:space="preserve"> </w:t>
      </w:r>
      <w:r w:rsidRPr="00F65888">
        <w:rPr>
          <w:rFonts w:ascii="Calibri" w:hAnsi="Calibri" w:cs="Calibri"/>
          <w:sz w:val="22"/>
          <w:szCs w:val="22"/>
        </w:rPr>
        <w:t>deflactando tanto la escala autonómica como los mínimos personales y</w:t>
      </w:r>
      <w:r w:rsidR="00AA6B8A">
        <w:rPr>
          <w:rFonts w:ascii="Calibri" w:hAnsi="Calibri" w:cs="Calibri"/>
          <w:sz w:val="22"/>
          <w:szCs w:val="22"/>
        </w:rPr>
        <w:t xml:space="preserve"> </w:t>
      </w:r>
      <w:r w:rsidRPr="00F65888">
        <w:rPr>
          <w:rFonts w:ascii="Calibri" w:hAnsi="Calibri" w:cs="Calibri"/>
          <w:sz w:val="22"/>
          <w:szCs w:val="22"/>
        </w:rPr>
        <w:t>familiares no sólo no han corregido la desventaja fiscal de la comunidad con</w:t>
      </w:r>
      <w:r w:rsidR="00AA6B8A">
        <w:rPr>
          <w:rFonts w:ascii="Calibri" w:hAnsi="Calibri" w:cs="Calibri"/>
          <w:sz w:val="22"/>
          <w:szCs w:val="22"/>
        </w:rPr>
        <w:t xml:space="preserve"> </w:t>
      </w:r>
      <w:r w:rsidRPr="00F65888">
        <w:rPr>
          <w:rFonts w:ascii="Calibri" w:hAnsi="Calibri" w:cs="Calibri"/>
          <w:sz w:val="22"/>
          <w:szCs w:val="22"/>
        </w:rPr>
        <w:t>respecto a otras regiones, sino que le han llevado a perder una posición en el</w:t>
      </w:r>
      <w:r w:rsidR="00AA6B8A">
        <w:rPr>
          <w:rFonts w:ascii="Calibri" w:hAnsi="Calibri" w:cs="Calibri"/>
          <w:sz w:val="22"/>
          <w:szCs w:val="22"/>
        </w:rPr>
        <w:t xml:space="preserve"> </w:t>
      </w:r>
      <w:r w:rsidRPr="00F65888">
        <w:rPr>
          <w:rFonts w:ascii="Calibri" w:hAnsi="Calibri" w:cs="Calibri"/>
          <w:sz w:val="22"/>
          <w:szCs w:val="22"/>
        </w:rPr>
        <w:t>Índice Autonómico de Competitividad Fiscal de este año, que como ya hemos</w:t>
      </w:r>
      <w:r w:rsidR="00AA6B8A">
        <w:rPr>
          <w:rFonts w:ascii="Calibri" w:hAnsi="Calibri" w:cs="Calibri"/>
          <w:sz w:val="22"/>
          <w:szCs w:val="22"/>
        </w:rPr>
        <w:t xml:space="preserve"> </w:t>
      </w:r>
      <w:r w:rsidRPr="00F65888">
        <w:rPr>
          <w:rFonts w:ascii="Calibri" w:hAnsi="Calibri" w:cs="Calibri"/>
          <w:sz w:val="22"/>
          <w:szCs w:val="22"/>
        </w:rPr>
        <w:t>señalado, sitúa a la comunidad en la última posición tanto en Renta como en</w:t>
      </w:r>
      <w:r w:rsidR="00AA6B8A">
        <w:rPr>
          <w:rFonts w:ascii="Calibri" w:hAnsi="Calibri" w:cs="Calibri"/>
          <w:sz w:val="22"/>
          <w:szCs w:val="22"/>
        </w:rPr>
        <w:t xml:space="preserve"> </w:t>
      </w:r>
      <w:r w:rsidRPr="00F65888">
        <w:rPr>
          <w:rFonts w:ascii="Calibri" w:hAnsi="Calibri" w:cs="Calibri"/>
          <w:sz w:val="22"/>
          <w:szCs w:val="22"/>
        </w:rPr>
        <w:t>Patrimonio.</w:t>
      </w:r>
    </w:p>
    <w:p w14:paraId="457F922E" w14:textId="27B7E0EF" w:rsidR="00F65888" w:rsidRPr="00F65888" w:rsidRDefault="00F65888" w:rsidP="00F65888">
      <w:pPr>
        <w:jc w:val="both"/>
        <w:rPr>
          <w:rFonts w:ascii="Calibri" w:hAnsi="Calibri" w:cs="Calibri"/>
          <w:sz w:val="22"/>
          <w:szCs w:val="22"/>
        </w:rPr>
      </w:pPr>
      <w:r w:rsidRPr="00F65888">
        <w:rPr>
          <w:rFonts w:ascii="Calibri" w:hAnsi="Calibri" w:cs="Calibri"/>
          <w:sz w:val="22"/>
          <w:szCs w:val="22"/>
        </w:rPr>
        <w:t>Así, y en la misma línea, se manifiesta también el Panel de Tendencias</w:t>
      </w:r>
      <w:r w:rsidR="00AA6B8A">
        <w:rPr>
          <w:rFonts w:ascii="Calibri" w:hAnsi="Calibri" w:cs="Calibri"/>
          <w:sz w:val="22"/>
          <w:szCs w:val="22"/>
        </w:rPr>
        <w:t xml:space="preserve"> </w:t>
      </w:r>
      <w:r w:rsidRPr="00F65888">
        <w:rPr>
          <w:rFonts w:ascii="Calibri" w:hAnsi="Calibri" w:cs="Calibri"/>
          <w:sz w:val="22"/>
          <w:szCs w:val="22"/>
        </w:rPr>
        <w:t>Navarra presentado por CO.CIUDADANA donde destaca como una de nuestras</w:t>
      </w:r>
      <w:r w:rsidR="00AA6B8A">
        <w:rPr>
          <w:rFonts w:ascii="Calibri" w:hAnsi="Calibri" w:cs="Calibri"/>
          <w:sz w:val="22"/>
          <w:szCs w:val="22"/>
        </w:rPr>
        <w:t xml:space="preserve"> </w:t>
      </w:r>
      <w:r w:rsidRPr="00F65888">
        <w:rPr>
          <w:rFonts w:ascii="Calibri" w:hAnsi="Calibri" w:cs="Calibri"/>
          <w:sz w:val="22"/>
          <w:szCs w:val="22"/>
        </w:rPr>
        <w:t>debilidades la alta fiscalidad y la poca atracción de inversión, claves para nuestro</w:t>
      </w:r>
      <w:r w:rsidR="00AA6B8A">
        <w:rPr>
          <w:rFonts w:ascii="Calibri" w:hAnsi="Calibri" w:cs="Calibri"/>
          <w:sz w:val="22"/>
          <w:szCs w:val="22"/>
        </w:rPr>
        <w:t xml:space="preserve"> </w:t>
      </w:r>
      <w:r w:rsidRPr="00F65888">
        <w:rPr>
          <w:rFonts w:ascii="Calibri" w:hAnsi="Calibri" w:cs="Calibri"/>
          <w:sz w:val="22"/>
          <w:szCs w:val="22"/>
        </w:rPr>
        <w:t>futuro.</w:t>
      </w:r>
    </w:p>
    <w:p w14:paraId="4A17C9E6" w14:textId="77777777" w:rsidR="00F65888" w:rsidRPr="00F65888" w:rsidRDefault="00F65888" w:rsidP="00F65888">
      <w:pPr>
        <w:jc w:val="both"/>
        <w:rPr>
          <w:rFonts w:ascii="Calibri" w:hAnsi="Calibri" w:cs="Calibri"/>
          <w:sz w:val="22"/>
          <w:szCs w:val="22"/>
        </w:rPr>
      </w:pPr>
      <w:r w:rsidRPr="00F65888">
        <w:rPr>
          <w:rFonts w:ascii="Calibri" w:hAnsi="Calibri" w:cs="Calibri"/>
          <w:sz w:val="22"/>
          <w:szCs w:val="22"/>
        </w:rPr>
        <w:t>Por todo ello, proponemos el siguiente acuerdo:</w:t>
      </w:r>
    </w:p>
    <w:p w14:paraId="00E6F202" w14:textId="07309EC8" w:rsidR="00F65888" w:rsidRPr="00F65888" w:rsidRDefault="00F65888" w:rsidP="00F65888">
      <w:pPr>
        <w:jc w:val="both"/>
        <w:rPr>
          <w:rFonts w:ascii="Calibri" w:hAnsi="Calibri" w:cs="Calibri"/>
          <w:sz w:val="22"/>
          <w:szCs w:val="22"/>
        </w:rPr>
      </w:pPr>
      <w:r w:rsidRPr="00F65888">
        <w:rPr>
          <w:rFonts w:ascii="Calibri" w:hAnsi="Calibri" w:cs="Calibri"/>
          <w:sz w:val="22"/>
          <w:szCs w:val="22"/>
        </w:rPr>
        <w:t>Único. Que en la próxima Ley de Modificaciones Fiscales la propuesta</w:t>
      </w:r>
      <w:r w:rsidR="00AA6B8A">
        <w:rPr>
          <w:rFonts w:ascii="Calibri" w:hAnsi="Calibri" w:cs="Calibri"/>
          <w:sz w:val="22"/>
          <w:szCs w:val="22"/>
        </w:rPr>
        <w:t xml:space="preserve"> </w:t>
      </w:r>
      <w:r w:rsidRPr="00F65888">
        <w:rPr>
          <w:rFonts w:ascii="Calibri" w:hAnsi="Calibri" w:cs="Calibri"/>
          <w:sz w:val="22"/>
          <w:szCs w:val="22"/>
        </w:rPr>
        <w:t>tenga como principio rector la mejora de la competitividad fiscal en Navarra en</w:t>
      </w:r>
      <w:r w:rsidR="00AA6B8A">
        <w:rPr>
          <w:rFonts w:ascii="Calibri" w:hAnsi="Calibri" w:cs="Calibri"/>
          <w:sz w:val="22"/>
          <w:szCs w:val="22"/>
        </w:rPr>
        <w:t xml:space="preserve"> </w:t>
      </w:r>
      <w:r w:rsidRPr="00F65888">
        <w:rPr>
          <w:rFonts w:ascii="Calibri" w:hAnsi="Calibri" w:cs="Calibri"/>
          <w:sz w:val="22"/>
          <w:szCs w:val="22"/>
        </w:rPr>
        <w:t>comparación con otras comunidades.</w:t>
      </w:r>
    </w:p>
    <w:p w14:paraId="36DEE974" w14:textId="77777777" w:rsidR="00F65888" w:rsidRPr="00F65888" w:rsidRDefault="00F65888" w:rsidP="00F65888">
      <w:pPr>
        <w:jc w:val="both"/>
        <w:rPr>
          <w:rFonts w:ascii="Calibri" w:hAnsi="Calibri" w:cs="Calibri"/>
          <w:sz w:val="22"/>
          <w:szCs w:val="22"/>
        </w:rPr>
      </w:pPr>
      <w:r w:rsidRPr="00F65888">
        <w:rPr>
          <w:rFonts w:ascii="Calibri" w:hAnsi="Calibri" w:cs="Calibri"/>
          <w:sz w:val="22"/>
          <w:szCs w:val="22"/>
        </w:rPr>
        <w:t>En Pamplona, a 6 de octubre de 2024</w:t>
      </w:r>
    </w:p>
    <w:p w14:paraId="107490A2" w14:textId="57652BCE" w:rsidR="008D7F85" w:rsidRPr="00AA6B8A" w:rsidRDefault="00AA6B8A" w:rsidP="00F65888">
      <w:pPr>
        <w:jc w:val="both"/>
        <w:rPr>
          <w:rFonts w:ascii="Calibri" w:hAnsi="Calibri" w:cs="Calibri"/>
          <w:sz w:val="22"/>
          <w:szCs w:val="22"/>
        </w:rPr>
      </w:pPr>
      <w:r w:rsidRPr="00AA6B8A">
        <w:rPr>
          <w:rFonts w:ascii="Calibri" w:hAnsi="Calibri" w:cs="Calibri"/>
          <w:sz w:val="22"/>
          <w:szCs w:val="22"/>
        </w:rPr>
        <w:t>La Parlamentaria Foral:</w:t>
      </w:r>
      <w:r w:rsidR="00F65888" w:rsidRPr="00AA6B8A">
        <w:rPr>
          <w:rFonts w:ascii="Calibri" w:hAnsi="Calibri" w:cs="Calibri"/>
          <w:sz w:val="22"/>
          <w:szCs w:val="22"/>
        </w:rPr>
        <w:t xml:space="preserve"> Irene Royo</w:t>
      </w:r>
      <w:r w:rsidRPr="00AA6B8A">
        <w:rPr>
          <w:rFonts w:ascii="Calibri" w:hAnsi="Calibri" w:cs="Calibri"/>
          <w:sz w:val="22"/>
          <w:szCs w:val="22"/>
        </w:rPr>
        <w:t xml:space="preserve"> Ortín</w:t>
      </w:r>
    </w:p>
    <w:sectPr w:rsidR="008D7F85" w:rsidRPr="00AA6B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888"/>
    <w:rsid w:val="003E3E22"/>
    <w:rsid w:val="004613A4"/>
    <w:rsid w:val="005762CC"/>
    <w:rsid w:val="00600DE2"/>
    <w:rsid w:val="008907C1"/>
    <w:rsid w:val="008D7F85"/>
    <w:rsid w:val="00A36075"/>
    <w:rsid w:val="00A877BA"/>
    <w:rsid w:val="00AA6B8A"/>
    <w:rsid w:val="00B0049F"/>
    <w:rsid w:val="00E2340F"/>
    <w:rsid w:val="00E872DF"/>
    <w:rsid w:val="00F65888"/>
    <w:rsid w:val="00F75A21"/>
    <w:rsid w:val="00F777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1AA86"/>
  <w15:chartTrackingRefBased/>
  <w15:docId w15:val="{54B72A51-9BD3-47E4-8BC7-C298ED88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65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65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6588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6588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6588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6588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6588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588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588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588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6588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6588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6588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6588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6588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588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588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5888"/>
    <w:rPr>
      <w:rFonts w:eastAsiaTheme="majorEastAsia" w:cstheme="majorBidi"/>
      <w:color w:val="272727" w:themeColor="text1" w:themeTint="D8"/>
    </w:rPr>
  </w:style>
  <w:style w:type="paragraph" w:styleId="Ttulo">
    <w:name w:val="Title"/>
    <w:basedOn w:val="Normal"/>
    <w:next w:val="Normal"/>
    <w:link w:val="TtuloCar"/>
    <w:uiPriority w:val="10"/>
    <w:qFormat/>
    <w:rsid w:val="00F65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58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588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588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5888"/>
    <w:pPr>
      <w:spacing w:before="160"/>
      <w:jc w:val="center"/>
    </w:pPr>
    <w:rPr>
      <w:i/>
      <w:iCs/>
      <w:color w:val="404040" w:themeColor="text1" w:themeTint="BF"/>
    </w:rPr>
  </w:style>
  <w:style w:type="character" w:customStyle="1" w:styleId="CitaCar">
    <w:name w:val="Cita Car"/>
    <w:basedOn w:val="Fuentedeprrafopredeter"/>
    <w:link w:val="Cita"/>
    <w:uiPriority w:val="29"/>
    <w:rsid w:val="00F65888"/>
    <w:rPr>
      <w:i/>
      <w:iCs/>
      <w:color w:val="404040" w:themeColor="text1" w:themeTint="BF"/>
    </w:rPr>
  </w:style>
  <w:style w:type="paragraph" w:styleId="Prrafodelista">
    <w:name w:val="List Paragraph"/>
    <w:basedOn w:val="Normal"/>
    <w:uiPriority w:val="34"/>
    <w:qFormat/>
    <w:rsid w:val="00F65888"/>
    <w:pPr>
      <w:ind w:left="720"/>
      <w:contextualSpacing/>
    </w:pPr>
  </w:style>
  <w:style w:type="character" w:styleId="nfasisintenso">
    <w:name w:val="Intense Emphasis"/>
    <w:basedOn w:val="Fuentedeprrafopredeter"/>
    <w:uiPriority w:val="21"/>
    <w:qFormat/>
    <w:rsid w:val="00F65888"/>
    <w:rPr>
      <w:i/>
      <w:iCs/>
      <w:color w:val="0F4761" w:themeColor="accent1" w:themeShade="BF"/>
    </w:rPr>
  </w:style>
  <w:style w:type="paragraph" w:styleId="Citadestacada">
    <w:name w:val="Intense Quote"/>
    <w:basedOn w:val="Normal"/>
    <w:next w:val="Normal"/>
    <w:link w:val="CitadestacadaCar"/>
    <w:uiPriority w:val="30"/>
    <w:qFormat/>
    <w:rsid w:val="00F65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65888"/>
    <w:rPr>
      <w:i/>
      <w:iCs/>
      <w:color w:val="0F4761" w:themeColor="accent1" w:themeShade="BF"/>
    </w:rPr>
  </w:style>
  <w:style w:type="character" w:styleId="Referenciaintensa">
    <w:name w:val="Intense Reference"/>
    <w:basedOn w:val="Fuentedeprrafopredeter"/>
    <w:uiPriority w:val="32"/>
    <w:qFormat/>
    <w:rsid w:val="00F658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395</Words>
  <Characters>2178</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2024-10-11T07:04:00Z</dcterms:created>
  <dcterms:modified xsi:type="dcterms:W3CDTF">2024-10-14T15:54:00Z</dcterms:modified>
</cp:coreProperties>
</file>