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08A89" w14:textId="32C1D10E" w:rsidR="00AE2E51" w:rsidRPr="00AE2E51" w:rsidRDefault="00AE2E51" w:rsidP="00AE2E51">
      <w:pPr>
        <w:jc w:val="both"/>
        <w:rPr>
          <w:sz w:val="22"/>
          <w:szCs w:val="22"/>
          <w:rFonts w:ascii="Calibri" w:hAnsi="Calibri" w:cs="Calibri"/>
        </w:rPr>
      </w:pPr>
      <w:r>
        <w:rPr>
          <w:sz w:val="22"/>
          <w:rFonts w:ascii="Calibri" w:hAnsi="Calibri"/>
        </w:rPr>
        <w:t xml:space="preserve">24POR-350</w:t>
      </w:r>
    </w:p>
    <w:p w14:paraId="16826B12" w14:textId="075A3800" w:rsidR="00AE2E51" w:rsidRPr="00AE2E51" w:rsidRDefault="00AE2E51" w:rsidP="00AE2E51">
      <w:pPr>
        <w:jc w:val="both"/>
        <w:rPr>
          <w:sz w:val="22"/>
          <w:szCs w:val="22"/>
          <w:rFonts w:ascii="Calibri" w:hAnsi="Calibri" w:cs="Calibri"/>
        </w:rPr>
      </w:pPr>
      <w:r>
        <w:rPr>
          <w:sz w:val="22"/>
          <w:rFonts w:ascii="Calibri" w:hAnsi="Calibri"/>
        </w:rPr>
        <w:t xml:space="preserve">Geroa Bai talde parlamentarioari atxikitako foru parlamentari Mikel Asiain Torres jaunak, Parlamentuko Erregelamenduan xedatutakoaren babesean, honako galdera hau aurkezten du, Nafarroako Gobernuko Memoria eta Bizikidetzako, Kanpo Ekintzako eta Euskarako kontseilari Ana Ollo Hualde andreak ahoz erantzun dezan hurrengo kontroleko Osoko Bilkuran:</w:t>
      </w:r>
    </w:p>
    <w:p w14:paraId="069E148E" w14:textId="785431D2" w:rsidR="00AE2E51" w:rsidRPr="00AE2E51" w:rsidRDefault="00AE2E51" w:rsidP="00AE2E51">
      <w:pPr>
        <w:jc w:val="both"/>
        <w:rPr>
          <w:sz w:val="22"/>
          <w:szCs w:val="22"/>
          <w:rFonts w:ascii="Calibri" w:hAnsi="Calibri" w:cs="Calibri"/>
        </w:rPr>
      </w:pPr>
      <w:r>
        <w:rPr>
          <w:sz w:val="22"/>
          <w:rFonts w:ascii="Calibri" w:hAnsi="Calibri"/>
        </w:rPr>
        <w:t xml:space="preserve">Orain dela gutxi berritu zen foru erkidegoan EITB hartu ahal izate aldera Nafarroako Gobernuaren eta Eusko Jaurlaritzaren artean sinatutako hitzarmena.</w:t>
      </w:r>
    </w:p>
    <w:p w14:paraId="553792B9" w14:textId="15301C53" w:rsidR="00AE2E51" w:rsidRPr="00AE2E51" w:rsidRDefault="00AE2E51" w:rsidP="00AE2E51">
      <w:pPr>
        <w:jc w:val="both"/>
        <w:rPr>
          <w:sz w:val="22"/>
          <w:szCs w:val="22"/>
          <w:rFonts w:ascii="Calibri" w:hAnsi="Calibri" w:cs="Calibri"/>
        </w:rPr>
      </w:pPr>
      <w:r>
        <w:rPr>
          <w:sz w:val="22"/>
          <w:rFonts w:ascii="Calibri" w:hAnsi="Calibri"/>
        </w:rPr>
        <w:t xml:space="preserve">Senatuan egindako eztabaidan, PPk eta UPNk berriz erakutsi zuten euren euskarafobia, hitzarmen horren aurka azaldu baitziren.</w:t>
      </w:r>
    </w:p>
    <w:p w14:paraId="1D51659D" w14:textId="2ABFE097" w:rsidR="00AE2E51" w:rsidRPr="00AE2E51" w:rsidRDefault="00AE2E51" w:rsidP="00AE2E51">
      <w:pPr>
        <w:jc w:val="both"/>
        <w:rPr>
          <w:sz w:val="22"/>
          <w:szCs w:val="22"/>
          <w:rFonts w:ascii="Calibri" w:hAnsi="Calibri" w:cs="Calibri"/>
        </w:rPr>
      </w:pPr>
      <w:r>
        <w:rPr>
          <w:sz w:val="22"/>
          <w:rFonts w:ascii="Calibri" w:hAnsi="Calibri"/>
        </w:rPr>
        <w:t xml:space="preserve">Hori dela-eta, Memoria eta Bizikidetzako, Kanpo Ekintzako eta Euskarako kontseilariari galdetzen diogu ea zer balorazio egiten duen bi gobernuek sinatutako hitzarmenari buruz, zeinak, besteak beste, hizkuntza eztabaida alderdikoitik at normalizatzea bilatzen baitu.</w:t>
      </w:r>
    </w:p>
    <w:p w14:paraId="73932D1C" w14:textId="56B3E8D0" w:rsidR="008D7F85" w:rsidRPr="00AE2E51" w:rsidRDefault="00AE2E51" w:rsidP="00AE2E51">
      <w:pPr>
        <w:jc w:val="both"/>
        <w:rPr>
          <w:sz w:val="22"/>
          <w:szCs w:val="22"/>
          <w:rFonts w:ascii="Calibri" w:hAnsi="Calibri" w:cs="Calibri"/>
        </w:rPr>
      </w:pPr>
      <w:r>
        <w:rPr>
          <w:sz w:val="22"/>
          <w:rFonts w:ascii="Calibri" w:hAnsi="Calibri"/>
        </w:rPr>
        <w:t xml:space="preserve">Iruñean, 2024ko urriaren 24an</w:t>
      </w:r>
    </w:p>
    <w:p w14:paraId="122287E0" w14:textId="02A92DDB" w:rsidR="00AE2E51" w:rsidRPr="00AE2E51" w:rsidRDefault="00AE2E51" w:rsidP="00AE2E51">
      <w:pPr>
        <w:jc w:val="both"/>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Mikel Asiain Torres</w:t>
      </w:r>
    </w:p>
    <w:sectPr w:rsidR="00AE2E51" w:rsidRPr="00AE2E5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E51"/>
    <w:rsid w:val="003E3E22"/>
    <w:rsid w:val="005762CC"/>
    <w:rsid w:val="00600DE2"/>
    <w:rsid w:val="0066283F"/>
    <w:rsid w:val="008D7F85"/>
    <w:rsid w:val="00A36075"/>
    <w:rsid w:val="00A877BA"/>
    <w:rsid w:val="00AE2E51"/>
    <w:rsid w:val="00B0049F"/>
    <w:rsid w:val="00C01BD6"/>
    <w:rsid w:val="00C914E8"/>
    <w:rsid w:val="00E2340F"/>
    <w:rsid w:val="00E872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64B90"/>
  <w15:chartTrackingRefBased/>
  <w15:docId w15:val="{D43CF554-1E7B-4579-B37B-92F9A216B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E2E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E2E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E2E5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E2E5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E2E5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E2E5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E2E5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E2E5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E2E5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E2E5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E2E5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E2E5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E2E5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E2E5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E2E5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E2E5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E2E5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E2E51"/>
    <w:rPr>
      <w:rFonts w:eastAsiaTheme="majorEastAsia" w:cstheme="majorBidi"/>
      <w:color w:val="272727" w:themeColor="text1" w:themeTint="D8"/>
    </w:rPr>
  </w:style>
  <w:style w:type="paragraph" w:styleId="Ttulo">
    <w:name w:val="Title"/>
    <w:basedOn w:val="Normal"/>
    <w:next w:val="Normal"/>
    <w:link w:val="TtuloCar"/>
    <w:uiPriority w:val="10"/>
    <w:qFormat/>
    <w:rsid w:val="00AE2E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E2E5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E2E5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E2E5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E2E51"/>
    <w:pPr>
      <w:spacing w:before="160"/>
      <w:jc w:val="center"/>
    </w:pPr>
    <w:rPr>
      <w:i/>
      <w:iCs/>
      <w:color w:val="404040" w:themeColor="text1" w:themeTint="BF"/>
    </w:rPr>
  </w:style>
  <w:style w:type="character" w:customStyle="1" w:styleId="CitaCar">
    <w:name w:val="Cita Car"/>
    <w:basedOn w:val="Fuentedeprrafopredeter"/>
    <w:link w:val="Cita"/>
    <w:uiPriority w:val="29"/>
    <w:rsid w:val="00AE2E51"/>
    <w:rPr>
      <w:i/>
      <w:iCs/>
      <w:color w:val="404040" w:themeColor="text1" w:themeTint="BF"/>
    </w:rPr>
  </w:style>
  <w:style w:type="paragraph" w:styleId="Prrafodelista">
    <w:name w:val="List Paragraph"/>
    <w:basedOn w:val="Normal"/>
    <w:uiPriority w:val="34"/>
    <w:qFormat/>
    <w:rsid w:val="00AE2E51"/>
    <w:pPr>
      <w:ind w:left="720"/>
      <w:contextualSpacing/>
    </w:pPr>
  </w:style>
  <w:style w:type="character" w:styleId="nfasisintenso">
    <w:name w:val="Intense Emphasis"/>
    <w:basedOn w:val="Fuentedeprrafopredeter"/>
    <w:uiPriority w:val="21"/>
    <w:qFormat/>
    <w:rsid w:val="00AE2E51"/>
    <w:rPr>
      <w:i/>
      <w:iCs/>
      <w:color w:val="0F4761" w:themeColor="accent1" w:themeShade="BF"/>
    </w:rPr>
  </w:style>
  <w:style w:type="paragraph" w:styleId="Citadestacada">
    <w:name w:val="Intense Quote"/>
    <w:basedOn w:val="Normal"/>
    <w:next w:val="Normal"/>
    <w:link w:val="CitadestacadaCar"/>
    <w:uiPriority w:val="30"/>
    <w:qFormat/>
    <w:rsid w:val="00AE2E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E2E51"/>
    <w:rPr>
      <w:i/>
      <w:iCs/>
      <w:color w:val="0F4761" w:themeColor="accent1" w:themeShade="BF"/>
    </w:rPr>
  </w:style>
  <w:style w:type="character" w:styleId="Referenciaintensa">
    <w:name w:val="Intense Reference"/>
    <w:basedOn w:val="Fuentedeprrafopredeter"/>
    <w:uiPriority w:val="32"/>
    <w:qFormat/>
    <w:rsid w:val="00AE2E5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146</Words>
  <Characters>803</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2024-10-25T05:42:00Z</dcterms:created>
  <dcterms:modified xsi:type="dcterms:W3CDTF">2024-10-25T05:46:00Z</dcterms:modified>
</cp:coreProperties>
</file>