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E84C5" w14:textId="5CD18312" w:rsidR="00B627FC" w:rsidRPr="00B627FC" w:rsidRDefault="00B627FC" w:rsidP="00B627FC">
      <w:pPr>
        <w:tabs>
          <w:tab w:val="left" w:pos="432"/>
          <w:tab w:val="center" w:pos="4176"/>
        </w:tabs>
        <w:spacing w:after="100" w:line="240" w:lineRule="atLeast"/>
        <w:ind w:firstLine="426"/>
        <w:jc w:val="both"/>
        <w:rPr>
          <w:b/>
          <w:bCs/>
          <w:sz w:val="22"/>
          <w:szCs w:val="22"/>
          <w:rFonts w:ascii="Arial" w:hAnsi="Arial" w:cs="Arial"/>
        </w:rPr>
      </w:pPr>
      <w:r>
        <w:rPr>
          <w:b/>
          <w:sz w:val="22"/>
          <w:rFonts w:ascii="Arial" w:hAnsi="Arial"/>
        </w:rPr>
        <w:t xml:space="preserve">11-24/LEY-00011.</w:t>
      </w:r>
      <w:r>
        <w:rPr>
          <w:b/>
          <w:sz w:val="22"/>
          <w:rFonts w:ascii="Arial" w:hAnsi="Arial"/>
        </w:rPr>
        <w:t xml:space="preserve"> </w:t>
      </w:r>
      <w:r>
        <w:rPr>
          <w:b/>
          <w:sz w:val="22"/>
          <w:rFonts w:ascii="Arial" w:hAnsi="Arial"/>
        </w:rPr>
        <w:t xml:space="preserve">2025erako Nafarroako Aurrekontu Orokorrei buruzko foru lege proiektua eztabaidatu eta bozkatzeko arauak</w:t>
      </w:r>
    </w:p>
    <w:p w14:paraId="5450449C" w14:textId="7E5282BD" w:rsidR="00B627FC" w:rsidRPr="002777DE" w:rsidRDefault="00B627FC" w:rsidP="00B627FC">
      <w:pPr>
        <w:tabs>
          <w:tab w:val="left" w:pos="432"/>
          <w:tab w:val="center" w:pos="4176"/>
        </w:tabs>
        <w:spacing w:after="100" w:line="240" w:lineRule="atLeast"/>
        <w:ind w:firstLine="426"/>
        <w:jc w:val="both"/>
        <w:rPr>
          <w:sz w:val="22"/>
          <w:szCs w:val="22"/>
          <w:rFonts w:ascii="Arial" w:hAnsi="Arial" w:cs="Arial"/>
        </w:rPr>
      </w:pPr>
      <w:r>
        <w:rPr>
          <w:sz w:val="22"/>
          <w:rFonts w:ascii="Arial" w:hAnsi="Arial"/>
        </w:rPr>
        <w:t xml:space="preserve">Nafarroako Parlamentuko Mahaiak, 2024ko urriaren 30ean egindako bilkuran, Eledunen Batzarrarekin bat, erabaki hau hartu zuen, besteak beste:</w:t>
      </w:r>
    </w:p>
    <w:p w14:paraId="2664F51B"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Ikusita 2025erako Nafarroako Aurrekontu Orokorrei buruzko foru lege proiektua, Nafarroako Gobernuaren 2024ko urriaren 30eko Erabakiaren bidez Legebiltzarrari igorria eta Parlamentuko Erregistro Orokorrean 2024ko urriaren 30ean sartua, Erregelamenduko 174. eta 177. artikuluekin bat honako hau ERABAKITZEN DA:</w:t>
      </w:r>
    </w:p>
    <w:p w14:paraId="0A1BDDE2" w14:textId="77777777" w:rsidR="00B627FC" w:rsidRPr="00023D7A" w:rsidRDefault="00B627FC" w:rsidP="00B627FC">
      <w:pPr>
        <w:spacing w:after="120" w:line="240" w:lineRule="atLeast"/>
        <w:ind w:firstLine="425"/>
        <w:jc w:val="both"/>
        <w:rPr>
          <w:sz w:val="22"/>
          <w:szCs w:val="22"/>
          <w:rFonts w:ascii="Arial" w:hAnsi="Arial" w:cs="Arial"/>
        </w:rPr>
      </w:pPr>
      <w:r>
        <w:rPr>
          <w:sz w:val="22"/>
          <w:b/>
          <w:bCs/>
          <w:rFonts w:ascii="Arial" w:hAnsi="Arial"/>
        </w:rPr>
        <w:t xml:space="preserve">Lehena. </w:t>
      </w:r>
      <w:r>
        <w:rPr>
          <w:sz w:val="22"/>
          <w:rFonts w:ascii="Arial" w:hAnsi="Arial"/>
        </w:rPr>
        <w:t xml:space="preserve">2025erako Nafarroako Aurrekontu Orokorrei buruzko foru lege proiektua –”proiektua”, aurrerantzean– eztabaidatu eta bozkatzeko honako arau hauek onestea.</w:t>
      </w:r>
    </w:p>
    <w:p w14:paraId="6A1BEF1B"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 Proiektua, Mahaiak izapidetzeko onartu ostean, Ekonomia eta Ogasuneko Batzordeari igorriko zaio, horrek irizpena eman dezan.</w:t>
      </w:r>
    </w:p>
    <w:p w14:paraId="4CB0CE00"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2. Proiektua berehala argitaratuko da Nafarroako Parlamentuko Aldizkari Ofizialean, eta argitaratzearekin batera, epe bat irekiko da, 2024ko azaroaren 11ko 12:00etan bukatuko dena, zeinean talde parlamentarioek, foru parlamentarien elkarteak eta foru parlamentariek nork bere izenean osoko zuzenketak aurkeztu ahalko baitituzte. Beste epe bat ere irekiko da, 2024ko azaroaren 19ko 14:00etan bukatuko dena, artikuluei eta partidei zuzenketak aurkeztu ahal izateko, 3. arauan xedaturikoa aintzat hartuz.</w:t>
      </w:r>
      <w:r>
        <w:rPr>
          <w:sz w:val="22"/>
          <w:rFonts w:ascii="Arial" w:hAnsi="Arial"/>
        </w:rPr>
        <w:t xml:space="preserve"> </w:t>
      </w:r>
      <w:r>
        <w:rPr>
          <w:sz w:val="22"/>
          <w:rFonts w:ascii="Arial" w:hAnsi="Arial"/>
        </w:rPr>
        <w:t xml:space="preserve">Aipatu zuzenketak Ekonomia eta Ogasuneko Batzordeko Mahaiari zuzenduko zaizkio.</w:t>
      </w:r>
    </w:p>
    <w:p w14:paraId="35DBC51F"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3. Zuzenketak honelakoak izan ahalko dira:</w:t>
      </w:r>
    </w:p>
    <w:p w14:paraId="4B25F80C"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a) Proiektu osoari aurkeztuak. Proiektua Nafarroako Gobernuari itzultzeko proposatuko dute, eta hari eskatuko diote hasierako proiektuaren oinarri izan zirenez bestelako printzipio batzuetan oinarritutako proiektu bat prestatzeko.</w:t>
      </w:r>
    </w:p>
    <w:p w14:paraId="0AA9D0A2"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Departamentu baten edo Programa eta Ekonomia Korrelazioa izenekoan ageri diren entitateetako baten programa-multzo osoa ukitzen duten zuzenketak proiektua Gobernuari itzultzeko osoko zuzenketa gisa aurkeztu beharko dira.</w:t>
      </w:r>
    </w:p>
    <w:p w14:paraId="2FB59C63"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Osoko zuzenketak egiteko, “2025_CrearEnmiendasArticulado” Word-eko plantilla erabiliko da.</w:t>
      </w:r>
      <w:r>
        <w:rPr>
          <w:sz w:val="22"/>
          <w:rFonts w:ascii="Arial" w:hAnsi="Arial"/>
        </w:rPr>
        <w:t xml:space="preserve"> </w:t>
      </w:r>
      <w:r>
        <w:rPr>
          <w:sz w:val="22"/>
          <w:rFonts w:ascii="Arial" w:hAnsi="Arial"/>
        </w:rPr>
        <w:t xml:space="preserve">Zuzenketa horiek egiteko, aintzat hartuko dira I. eranskinean jasotako jarraibideak.</w:t>
      </w:r>
    </w:p>
    <w:p w14:paraId="653D4B05"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b) Proiektuaren edozein artikuluri aurkeztuak.</w:t>
      </w:r>
    </w:p>
    <w:p w14:paraId="7B73DC79"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Artikuluei aurkezturiko zuzenketak egiteko, “2025_CrearEnmiendasArticulado” Word-eko plantilla erabiliko da.</w:t>
      </w:r>
      <w:r>
        <w:rPr>
          <w:sz w:val="22"/>
          <w:rFonts w:ascii="Arial" w:hAnsi="Arial"/>
        </w:rPr>
        <w:t xml:space="preserve"> </w:t>
      </w:r>
      <w:r>
        <w:rPr>
          <w:sz w:val="22"/>
          <w:rFonts w:ascii="Arial" w:hAnsi="Arial"/>
        </w:rPr>
        <w:t xml:space="preserve">Zuzenketa horiek egiteko, aintzat hartuko dira I. eranskinean jasotako jarraibideak.</w:t>
      </w:r>
    </w:p>
    <w:p w14:paraId="26DE101C"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c) Proiektuaren barruko edozein “programa”, “proiektu” zein “partida”ri aurkeztuak.</w:t>
      </w:r>
    </w:p>
    <w:p w14:paraId="301CC948"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Aurrekontu-partidei aurkeztekoak diren zuzenketak egiteko, “2025_CrearEnmiendasPartidas.ACCDB” izeneko aplikazio informatikoa erabiliko da.</w:t>
      </w:r>
      <w:r>
        <w:rPr>
          <w:sz w:val="22"/>
          <w:rFonts w:ascii="Arial" w:hAnsi="Arial"/>
        </w:rPr>
        <w:t xml:space="preserve"> </w:t>
      </w:r>
      <w:r>
        <w:rPr>
          <w:sz w:val="22"/>
          <w:rFonts w:ascii="Arial" w:hAnsi="Arial"/>
        </w:rPr>
        <w:t xml:space="preserve">Zuzenketa horiek egiteko, aintzat hartuko dira I. eranskinean jasotako jarraibideak.</w:t>
      </w:r>
      <w:r>
        <w:rPr>
          <w:sz w:val="22"/>
          <w:rFonts w:ascii="Arial" w:hAnsi="Arial"/>
        </w:rPr>
        <w:t xml:space="preserve"> </w:t>
      </w:r>
    </w:p>
    <w:p w14:paraId="5B629118" w14:textId="77777777" w:rsidR="00B627FC" w:rsidRDefault="00B627FC" w:rsidP="00B627FC">
      <w:pPr>
        <w:spacing w:after="120" w:line="240" w:lineRule="atLeast"/>
        <w:ind w:firstLine="425"/>
        <w:jc w:val="both"/>
        <w:rPr>
          <w:sz w:val="22"/>
          <w:szCs w:val="22"/>
          <w:rFonts w:ascii="Arial" w:hAnsi="Arial" w:cs="Arial"/>
        </w:rPr>
      </w:pPr>
      <w:r>
        <w:rPr>
          <w:sz w:val="22"/>
          <w:rFonts w:ascii="Arial" w:hAnsi="Arial"/>
        </w:rPr>
        <w:t xml:space="preserve">4. Kontzepturen batean gastuak gehitzea edo diru-sarrerak gutxitzea dakarten zuzenketek Nafarroako Gobernuaren aurretiazko onespena beharko dute izapidetzera onartuak izateko.</w:t>
      </w:r>
      <w:r>
        <w:rPr>
          <w:sz w:val="22"/>
          <w:rFonts w:ascii="Arial" w:hAnsi="Arial"/>
        </w:rPr>
        <w:t xml:space="preserve"> </w:t>
      </w:r>
      <w:r>
        <w:rPr>
          <w:sz w:val="22"/>
          <w:rFonts w:ascii="Arial" w:hAnsi="Arial"/>
        </w:rPr>
        <w:t xml:space="preserve">Hala ere, aipatu onespena ez da derrigorrezkoa izanen aurkeztutako zuzenketak zehazten baldin badu zein diren proiektuan jadanik izendaturiko baliabideak, gastu gehikuntza edo diru-sarreren gutxitzea finantzatzekoak.</w:t>
      </w:r>
    </w:p>
    <w:p w14:paraId="6F651990"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Batzordean aurkezten diren eta kontzepturen batean gastuak gehitzea edo diru-sarrerak gutxitzea dakarten “in voce” zuzenketek Nafarroako Gobernuaren aurretiazko onespena beharko dute izapidetzera onartuak izateko. Horretarako, egun bateko epea ezarriko da gutxienez, eta Mahaiak erabakiko du epe hori.</w:t>
      </w:r>
      <w:r>
        <w:rPr>
          <w:sz w:val="22"/>
          <w:rFonts w:ascii="Arial" w:hAnsi="Arial"/>
        </w:rPr>
        <w:t xml:space="preserve"> </w:t>
      </w:r>
      <w:r>
        <w:rPr>
          <w:sz w:val="22"/>
          <w:rFonts w:ascii="Arial" w:hAnsi="Arial"/>
        </w:rPr>
        <w:t xml:space="preserve">Nafarroako Gobernuak ez badu erantzunik ematen epe horretan, izapidetzearekin ados dagoela ulertuko da.</w:t>
      </w:r>
    </w:p>
    <w:p w14:paraId="14928CF8"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Ados egote hori, hala ere, ez da derrigorrezkoa izanen baldin eta aurkeztu den zuzenketak gastu gehikuntza edo dirusarreren gutxitzea finantzatzeko baliabideak, proiektuan izendaturik behar dutenak, zehazten baditu, Erregelamenduaren 176.2 artikuluak xedatzen duenez.</w:t>
      </w:r>
    </w:p>
    <w:p w14:paraId="5536D00C"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5. Proiektuari aurkeztutako zuzenketek ezin dute inola ere murrizketarik proposatu Nafarroako Ogasun Publikoari buruzko apirilaren 4ko 13/2007 Foru Legeko 47. artikuluko 1. apartatuko a), b), c) eta e) letretan jasotako kreditu zabalgarrietarako aurreikusitako kontsignaziorako, eta horrelako zuzenketarik aurkezten baldin bada, onartu gabe utziko da.</w:t>
      </w:r>
    </w:p>
    <w:p w14:paraId="32D840EA"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6. Zuzenketak aurkezteko epea bukatu baino lehen, Parlamentuko lehendakariak Ekonomia eta Ogasuneko Batzordearen eta arlo horretaz arduratzen den kontseilariaren arteko lan bilerarako deia eginen du; zuzendari nagusiekin eta egoki iritzitako teknikariekin bertaratu daiteke aipatu kontseilaria.</w:t>
      </w:r>
    </w:p>
    <w:p w14:paraId="2D3F21B5"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7. Osoko zuzenketarik aurkeztu baldin bada, Batzordeko Mahaiak iritzia emanen du horiek izapidetzera onartzeari buruz, eta batzordeburuak Parlamentuko lehendakariari bidaliko dizkio, eztabaidatu behar direneko Osoko Bilkuraren gai zerrendan sar ditzan.</w:t>
      </w:r>
    </w:p>
    <w:p w14:paraId="69FCE848"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8. Artikuluei eta partidei zuzenketak aurkezteko epea amaitu ondoren, Batzordeko Mahaiak zuzenketak ordenatuko ditu eta igorriko dizkie Parlamentuko lehendakariari, talde parlamentarioei, foru parlamentarien elkarteari, Ekonomia eta Ogasuneko Batzordeko kideei eta Nafarroako Gobernuari.</w:t>
      </w:r>
      <w:r>
        <w:rPr>
          <w:sz w:val="22"/>
          <w:rFonts w:ascii="Arial" w:hAnsi="Arial"/>
        </w:rPr>
        <w:t xml:space="preserve"> </w:t>
      </w:r>
      <w:r>
        <w:rPr>
          <w:sz w:val="22"/>
          <w:rFonts w:ascii="Arial" w:hAnsi="Arial"/>
        </w:rPr>
        <w:t xml:space="preserve">Halaber, Erregelamenduaren 176. artikuluan xedatutakoari jarraikiz, erabakiko du Gobernuari igortzea gastu-gehikuntza edo diru-sarreren murrizketa dakarten zuzenketak.</w:t>
      </w:r>
    </w:p>
    <w:p w14:paraId="2667EF98"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Nafarroako Gobernuak txostena egin beharko du eta egutegian adierazitako epean bidali beharko du. Txostena jaso ondoren, Batzordeko Mahaiak iritzia emanen du Gobernuak txostena egin dueneko zuzenketak izapidetzera onartzeari buruz eta aurkeztutako gainerako zuzenketei buruz.</w:t>
      </w:r>
    </w:p>
    <w:p w14:paraId="7C5F6119"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9. Parlamentuko lehendakariak zilegi izanen du hogeita lau ordu baino gutxiagoko aurrerapenarekin dei egitea Ekonomia eta Ogasuneko Batzordearen bilerara, kasuko eztabaidari ekiteko.</w:t>
      </w:r>
    </w:p>
    <w:p w14:paraId="721CF5D6"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10. Osoko zuzenketen eztabaida eta bozketa Erregelamenduko 101. eta 151. artikuluek ezarritakoaren arabera eginen da Osoko Bilkuran.</w:t>
      </w:r>
    </w:p>
    <w:p w14:paraId="5C101963"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11. Osoko eztabaida bukatu eta Osoko Bilkurak proiektua Nafarroako Gobernuari itzultzea erabaki ez badu, edo osoko zuzenketarik ez bada aurkeztu, Ekonomia eta Ogasuneko Batzordeak bilera eginen du, 9. arauarekin bat Legebiltzarreko Lehendakaritzak kasuko deialdian finkaturiko toki, egun eta orduan.</w:t>
      </w:r>
    </w:p>
    <w:p w14:paraId="70AAD489"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12. Batzordean, honako hauek eztabaidatu eta bozkatuko dira lehenbizi, Erregelamenduaren 153. artikuluan eta hurrengoetan ezarritako moduan: 2025erako Nafarroako Aurrekontu Orokorrei buruzko foru lege proiektuaren artikuluak, 2. artikulua salbu, eta horiei aurkeztu zaizkien zuzenketak.</w:t>
      </w:r>
    </w:p>
    <w:p w14:paraId="64A88959"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13. Ondoren, honako hauek eztabaidatu eta bozkatuko dira, Erregelamenduaren 153. artikuluan eta hurrengoetan ezarritako moduan: zuzenketak aurkeztu zaizkien diru-sarrera eta gastu kategoria ezberdinak eta horiei aurkeztu zaizkien zuzenketak.</w:t>
      </w:r>
      <w:r>
        <w:rPr>
          <w:sz w:val="22"/>
          <w:rFonts w:ascii="Arial" w:hAnsi="Arial"/>
        </w:rPr>
        <w:t xml:space="preserve"> </w:t>
      </w:r>
      <w:r>
        <w:rPr>
          <w:sz w:val="22"/>
          <w:rFonts w:ascii="Arial" w:hAnsi="Arial"/>
        </w:rPr>
        <w:t xml:space="preserve">Zuzenketarik jaso ez duten guztiak batera eztabaidatu eta bozkatuko dira.</w:t>
      </w:r>
    </w:p>
    <w:p w14:paraId="30AA05A8"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14. Zuzenketei eta boto partikularrei eusteko epea 2024ko abenduaren 17ko 12:00etan bukatuko da.</w:t>
      </w:r>
    </w:p>
    <w:p w14:paraId="05A7CE35"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Nafarroako Parlamentuko Erregelamenduaren 159. artikuluarekin bat, Legebiltzarreko Mahaiak erabaki bat hartu beharko du eutsitako zuzenketei eta formalizatutako boto partikularrei buruz, bai eta Osoko Bilkurako kideei igortzeaz ere, horiek eztabaidatu eta bozkatzeko.</w:t>
      </w:r>
      <w:r>
        <w:rPr>
          <w:sz w:val="22"/>
          <w:rFonts w:ascii="Arial" w:hAnsi="Arial"/>
        </w:rPr>
        <w:t xml:space="preserve"> </w:t>
      </w:r>
    </w:p>
    <w:p w14:paraId="119E885F"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15. Eutsitako zuzenketei eta formalizatutako boto partikularrei buruz Mahaiak hartutako erabakia jakinarazi ostean, talde parlamentarioetako eta foru parlamentarien elkarteko eledunek legelari nagusiari e-mailez igorriko dizkiote eutsitako zuzenketetarako eta boto partikularretarako eskatzen diren bozketa bereiziko multzoak; horretarako epea abenduaren 17ko 17:30ean amaituko da.</w:t>
      </w:r>
    </w:p>
    <w:p w14:paraId="09E25212"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16. Osoko Bilkuran irizpenaren osoko eztabaida bakarra eginen da, zeinean talde parlamentarioek eta foru parlamentarien elkarteak, handienetik txikienerako hurrenkeran, 20 minutuko hitz egiteko txanda izanen baitute. Horren ondoren 10 minutuko ihardespen-txanda izanen dute lege proiektuaren alde bozkatuko ez duten talde parlamentarioek eta foru parlamentarien elkarteak, handienetik txikienerako hurrenkeran. Jarraian, bozketa eginen da.</w:t>
      </w:r>
    </w:p>
    <w:p w14:paraId="4A7340CC"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Bozketa honela eginen da: lehendabizi, artikuluei aurkezturiko zuzenketa eta boto partikularrak bozkatuko dira; talde parlamentario edo foru parlamentarien elkarte bakoitzak aurkezturiko guztiak batera bozkatuko dira, salbu eta horietakoren bat bereizita bozkatzeko eskatzen bada.</w:t>
      </w:r>
      <w:r>
        <w:rPr>
          <w:sz w:val="22"/>
          <w:rFonts w:ascii="Arial" w:hAnsi="Arial"/>
        </w:rPr>
        <w:t xml:space="preserve"> </w:t>
      </w:r>
      <w:r>
        <w:rPr>
          <w:sz w:val="22"/>
          <w:rFonts w:ascii="Arial" w:hAnsi="Arial"/>
        </w:rPr>
        <w:t xml:space="preserve">Ondotik, testu artikuluduna bozkatuko da bere osotasunean, salbu eta 2. artikulua, zeina amaieran bozkatuko baita, non eta ez den eskatzen arauren baten bozketa bereizia egitea.</w:t>
      </w:r>
    </w:p>
    <w:p w14:paraId="4289BE28"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17. Horren ondoren bozkatuko dira zuzenketen edo boto partikularren xede izan diren diru-sarrera eta gastu kategoriak eta haiei buruzko zuzenketak eta boto partikularrak.</w:t>
      </w:r>
      <w:r>
        <w:rPr>
          <w:sz w:val="22"/>
          <w:rFonts w:ascii="Arial" w:hAnsi="Arial"/>
        </w:rPr>
        <w:t xml:space="preserve"> </w:t>
      </w:r>
      <w:r>
        <w:rPr>
          <w:sz w:val="22"/>
          <w:rFonts w:ascii="Arial" w:hAnsi="Arial"/>
        </w:rPr>
        <w:t xml:space="preserve">Lehenbizi bozkatuko dira aurrekontu-partidei aurkeztutako eta izapidetara onarturiko “</w:t>
      </w:r>
      <w:r>
        <w:rPr>
          <w:sz w:val="22"/>
          <w:i/>
          <w:iCs/>
          <w:rFonts w:ascii="Arial" w:hAnsi="Arial"/>
        </w:rPr>
        <w:t xml:space="preserve">in voce</w:t>
      </w:r>
      <w:r>
        <w:rPr>
          <w:sz w:val="22"/>
          <w:rFonts w:ascii="Arial" w:hAnsi="Arial"/>
        </w:rPr>
        <w:t xml:space="preserve">” zuzenketak, eta, gero, taldeek edo parlamentarien elkarteak mantendutako zuzenketa guztiak, ordezkari gehien dituen taldeak mantendu dituenetatik hasita.</w:t>
      </w:r>
      <w:r>
        <w:rPr>
          <w:sz w:val="22"/>
          <w:rFonts w:ascii="Arial" w:hAnsi="Arial"/>
        </w:rPr>
        <w:t xml:space="preserve"> </w:t>
      </w:r>
      <w:r>
        <w:rPr>
          <w:sz w:val="22"/>
          <w:rFonts w:ascii="Arial" w:hAnsi="Arial"/>
        </w:rPr>
        <w:t xml:space="preserve">Horretarako, zuzenketak eta boto partikularrak onesten ez badira, zuzenketa edo boto partikular horien xede izan diren aurrekontu-lerroak onetsitzat emanen dira.</w:t>
      </w:r>
      <w:r>
        <w:rPr>
          <w:sz w:val="22"/>
          <w:rFonts w:ascii="Arial" w:hAnsi="Arial"/>
        </w:rPr>
        <w:t xml:space="preserve"> </w:t>
      </w:r>
      <w:r>
        <w:rPr>
          <w:sz w:val="22"/>
          <w:rFonts w:ascii="Arial" w:hAnsi="Arial"/>
        </w:rPr>
        <w:t xml:space="preserve">Azkenik, zuzenketarik aurkeztu ez zaien aurrekontu-partidak bozkatuko dira.</w:t>
      </w:r>
    </w:p>
    <w:p w14:paraId="3950DB86"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18. Baldin eta zuzenketak onestearen edo artikuluak edo diru-sarreren nahiz gastuen kontzeptuak bozkatzearen ondorioz suertatu diren artikuluen multzoa edo kontzeptu horiek kontraesanekoak edo osatugabeak gertatzen badira aurrekontuak partidaka sailkatzen dituen liburukiarekin alderatuta, Ekonomia eta Ogasuneko Batzordeko Mahaiak eta, kasua bada, Legebiltzarreko Mahaiak, behar diren aldaketak sartzen ahalko dituzte, gertatu ahal izan litezkeen kontraesanak zuzentzeko.</w:t>
      </w:r>
    </w:p>
    <w:p w14:paraId="6E027918"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19. Arau hauetan aurreikusita ez dagoen guztian, Legebiltzarreko Erregelamenduan ezarritakoari jarraituko zaio.</w:t>
      </w:r>
    </w:p>
    <w:p w14:paraId="6FEC909E"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20. Arau hauek aldatu ahalko dira Legebiltzarreko Mahaiak Eledunen Batzarrarekin adosturiko erabakiaren bidez.</w:t>
      </w:r>
    </w:p>
    <w:p w14:paraId="6174E3D3" w14:textId="77777777" w:rsidR="00B627FC" w:rsidRPr="00023D7A" w:rsidRDefault="00B627FC" w:rsidP="00B627FC">
      <w:pPr>
        <w:spacing w:after="120" w:line="240" w:lineRule="atLeast"/>
        <w:ind w:firstLine="425"/>
        <w:jc w:val="both"/>
        <w:rPr>
          <w:sz w:val="22"/>
          <w:szCs w:val="22"/>
          <w:rFonts w:ascii="Arial" w:hAnsi="Arial" w:cs="Arial"/>
        </w:rPr>
      </w:pPr>
      <w:r>
        <w:rPr>
          <w:sz w:val="22"/>
          <w:b/>
          <w:rFonts w:ascii="Arial" w:hAnsi="Arial"/>
        </w:rPr>
        <w:t xml:space="preserve">Bigarrena</w:t>
      </w:r>
      <w:r>
        <w:rPr>
          <w:sz w:val="22"/>
          <w:rFonts w:ascii="Arial" w:hAnsi="Arial"/>
        </w:rPr>
        <w:t xml:space="preserve">.- Arau hauek talde parlamentarioen eta foru parlamentarien elkartearen eledunei, Ekonomia eta Ogasuneko Batzordeko Mahaiari eta Nafarroako Gobernuari igortzea, eta Legebiltzarreko Aldizkari Ofizialean argitara daitezen agintzea.</w:t>
      </w:r>
    </w:p>
    <w:p w14:paraId="5C54FB2E" w14:textId="77777777" w:rsidR="00B627FC" w:rsidRPr="00023D7A" w:rsidRDefault="00B627FC" w:rsidP="00B627FC">
      <w:pPr>
        <w:spacing w:after="120" w:line="240" w:lineRule="atLeast"/>
        <w:ind w:firstLine="425"/>
        <w:jc w:val="both"/>
        <w:rPr>
          <w:sz w:val="22"/>
          <w:szCs w:val="22"/>
          <w:rFonts w:ascii="Arial" w:hAnsi="Arial" w:cs="Arial"/>
        </w:rPr>
      </w:pPr>
      <w:r>
        <w:rPr>
          <w:sz w:val="22"/>
          <w:rFonts w:ascii="Arial" w:hAnsi="Arial"/>
        </w:rPr>
        <w:t xml:space="preserve">Iruñean, 2024ko urriaren 30ean</w:t>
      </w:r>
    </w:p>
    <w:p w14:paraId="4334F245" w14:textId="759C29AE" w:rsidR="00B627FC" w:rsidRDefault="00B627FC" w:rsidP="00B627FC">
      <w:pPr>
        <w:spacing w:after="120" w:line="240" w:lineRule="atLeast"/>
        <w:ind w:firstLine="425"/>
        <w:jc w:val="both"/>
        <w:rPr>
          <w:iCs/>
          <w:sz w:val="22"/>
          <w:szCs w:val="22"/>
          <w:rFonts w:ascii="Arial" w:hAnsi="Arial" w:cs="Arial"/>
        </w:rPr>
      </w:pPr>
      <w:r>
        <w:rPr>
          <w:sz w:val="22"/>
          <w:rFonts w:ascii="Arial" w:hAnsi="Arial"/>
        </w:rPr>
        <w:t xml:space="preserve">Lehendakaria:</w:t>
      </w:r>
      <w:r>
        <w:rPr>
          <w:sz w:val="22"/>
          <w:rFonts w:ascii="Arial" w:hAnsi="Arial"/>
        </w:rPr>
        <w:t xml:space="preserve"> </w:t>
      </w:r>
      <w:r>
        <w:rPr>
          <w:sz w:val="22"/>
          <w:rFonts w:ascii="Arial" w:hAnsi="Arial"/>
        </w:rPr>
        <w:t xml:space="preserve">Unai Hualde Iglesias</w:t>
      </w:r>
    </w:p>
    <w:p w14:paraId="784FDCA7" w14:textId="77777777" w:rsidR="00883A71" w:rsidRDefault="00883A71" w:rsidP="00B627FC">
      <w:pPr>
        <w:spacing w:after="120" w:line="240" w:lineRule="atLeast"/>
        <w:ind w:firstLine="425"/>
        <w:jc w:val="both"/>
        <w:rPr>
          <w:rFonts w:ascii="Arial" w:hAnsi="Arial" w:cs="Arial"/>
          <w:iCs/>
          <w:sz w:val="22"/>
          <w:szCs w:val="22"/>
          <w:lang w:val="eu-ES"/>
        </w:rPr>
      </w:pPr>
    </w:p>
    <w:p w14:paraId="709A44DC" w14:textId="77777777" w:rsidR="00883A71" w:rsidRPr="00023D7A" w:rsidRDefault="00883A71" w:rsidP="00883A71">
      <w:pPr>
        <w:pStyle w:val="OFI-CERT-MESA"/>
        <w:spacing w:before="0" w:after="120"/>
        <w:ind w:firstLine="425"/>
        <w:jc w:val="center"/>
        <w:rPr>
          <w:i/>
          <w:sz w:val="22"/>
        </w:rPr>
      </w:pPr>
      <w:r>
        <w:rPr>
          <w:i/>
          <w:sz w:val="22"/>
        </w:rPr>
        <w:t xml:space="preserve">I. ERANSKINA</w:t>
      </w:r>
      <w:r>
        <w:rPr>
          <w:i/>
          <w:sz w:val="22"/>
        </w:rPr>
        <w:t xml:space="preserve"> </w:t>
      </w:r>
    </w:p>
    <w:p w14:paraId="6950AEF8" w14:textId="77777777" w:rsidR="00883A71" w:rsidRPr="00023D7A" w:rsidRDefault="00883A71" w:rsidP="00883A71">
      <w:pPr>
        <w:pStyle w:val="OFI-CERT-MESA"/>
        <w:spacing w:before="0" w:after="120"/>
        <w:ind w:firstLine="425"/>
        <w:jc w:val="center"/>
        <w:rPr>
          <w:i/>
          <w:sz w:val="22"/>
        </w:rPr>
      </w:pPr>
      <w:r>
        <w:rPr>
          <w:i/>
          <w:sz w:val="22"/>
        </w:rPr>
        <w:t xml:space="preserve">AURREKONTUEI ZUZENKETAK PRESTATU ETA AURKEZTEKO JARRAIBIDEAK</w:t>
      </w:r>
    </w:p>
    <w:p w14:paraId="57555475" w14:textId="77777777" w:rsidR="00883A71" w:rsidRPr="00023D7A" w:rsidRDefault="00883A71" w:rsidP="00883A71">
      <w:pPr>
        <w:spacing w:after="120" w:line="240" w:lineRule="atLeast"/>
        <w:ind w:firstLine="425"/>
        <w:jc w:val="both"/>
        <w:rPr>
          <w:b/>
          <w:sz w:val="22"/>
          <w:szCs w:val="22"/>
          <w:u w:val="single"/>
          <w:rFonts w:ascii="Arial" w:hAnsi="Arial" w:cs="Arial"/>
        </w:rPr>
      </w:pPr>
      <w:r>
        <w:rPr>
          <w:b/>
          <w:sz w:val="22"/>
          <w:u w:val="single"/>
          <w:rFonts w:ascii="Arial" w:hAnsi="Arial"/>
        </w:rPr>
        <w:t xml:space="preserve">Osoko zuzenketak eta artikuluei nahiz aurrekontu-partidei aurkezturikoak</w:t>
      </w:r>
    </w:p>
    <w:p w14:paraId="7F95E9B6" w14:textId="77777777" w:rsidR="00883A71" w:rsidRPr="00023D7A" w:rsidRDefault="00883A71" w:rsidP="00883A71">
      <w:pPr>
        <w:spacing w:after="120" w:line="240" w:lineRule="atLeast"/>
        <w:ind w:firstLine="425"/>
        <w:jc w:val="both"/>
        <w:rPr>
          <w:sz w:val="22"/>
          <w:szCs w:val="22"/>
          <w:rFonts w:ascii="Arial" w:hAnsi="Arial" w:cs="Arial"/>
        </w:rPr>
      </w:pPr>
      <w:r>
        <w:rPr>
          <w:sz w:val="22"/>
          <w:rFonts w:ascii="Arial" w:hAnsi="Arial"/>
        </w:rPr>
        <w:t xml:space="preserve">1. 2024ko azaroaren 5ean, Parlamentuko sareko “P:\” unitatean, “2025Presupuestos” izeneko karpetan, ipiniko dira “2025_CrearEnmiendasArticulado” izeneko Word-eko plantilla bat, osoko zuzenketak eta artikuluen zuzenketak prestatzekoa, eta Access aplikazio bat, “2025_CrearEnmiendasPartidas” izenekoa, zeinaren bitartez prestatuko baitira 2025erako aurrekontuen proiektuko partidei aurkeztu beharreko zuzenketak. Horrez gain, karpeta horretan argibide-dokumentu bat utziko da, programa horiek nola erabili behar diren azaltzen duena.</w:t>
      </w:r>
    </w:p>
    <w:p w14:paraId="3533E9D2" w14:textId="77777777" w:rsidR="00883A71" w:rsidRPr="00023D7A" w:rsidRDefault="00883A71" w:rsidP="00883A71">
      <w:pPr>
        <w:spacing w:after="120" w:line="240" w:lineRule="atLeast"/>
        <w:ind w:firstLine="425"/>
        <w:jc w:val="both"/>
        <w:rPr>
          <w:sz w:val="22"/>
          <w:szCs w:val="22"/>
          <w:rFonts w:ascii="Arial" w:hAnsi="Arial" w:cs="Arial"/>
        </w:rPr>
      </w:pPr>
      <w:r>
        <w:rPr>
          <w:sz w:val="22"/>
          <w:rFonts w:ascii="Arial" w:hAnsi="Arial"/>
        </w:rPr>
        <w:t xml:space="preserve">Partida, programa eta proiektu berrien izenak ezin izanen dira 117 karaktere baino luzeagoak izan, hori baita SAP tresnak ahalbidetzen duen gehienekoa, eta ezin izanen dira puntu batez bukatu.</w:t>
      </w:r>
      <w:r>
        <w:rPr>
          <w:sz w:val="22"/>
          <w:rFonts w:ascii="Arial" w:hAnsi="Arial"/>
        </w:rPr>
        <w:t xml:space="preserve"> </w:t>
      </w:r>
      <w:r>
        <w:rPr>
          <w:sz w:val="22"/>
          <w:rFonts w:ascii="Arial" w:hAnsi="Arial"/>
        </w:rPr>
        <w:t xml:space="preserve">Zenbatekoak ez du hamarrenik onartzen, eta ezin izanen da izan 10 euro baino txikiagoa.</w:t>
      </w:r>
    </w:p>
    <w:p w14:paraId="239DFD20" w14:textId="77777777" w:rsidR="00883A71" w:rsidRPr="00023D7A" w:rsidRDefault="00883A71" w:rsidP="00883A71">
      <w:pPr>
        <w:spacing w:after="120" w:line="240" w:lineRule="atLeast"/>
        <w:ind w:firstLine="425"/>
        <w:jc w:val="both"/>
        <w:rPr>
          <w:sz w:val="22"/>
          <w:szCs w:val="22"/>
          <w:rFonts w:ascii="Arial" w:hAnsi="Arial" w:cs="Arial"/>
        </w:rPr>
      </w:pPr>
      <w:r>
        <w:rPr>
          <w:sz w:val="22"/>
          <w:rFonts w:ascii="Arial" w:hAnsi="Arial"/>
        </w:rPr>
        <w:t xml:space="preserve">Aplikazioarekin eta horren informazio eta funtzionamenduarekin zerikusia duen edozein zalantza argitzeko, Asun Marzalengana jo daiteke (telefonoa: 1234) edo Txema Arcerengana (telefonoa: 1260).</w:t>
      </w:r>
    </w:p>
    <w:p w14:paraId="7F04744F" w14:textId="77777777" w:rsidR="00883A71" w:rsidRPr="00023D7A" w:rsidRDefault="00883A71" w:rsidP="00883A71">
      <w:pPr>
        <w:spacing w:after="120" w:line="240" w:lineRule="atLeast"/>
        <w:ind w:firstLine="425"/>
        <w:jc w:val="both"/>
        <w:rPr>
          <w:sz w:val="22"/>
          <w:szCs w:val="22"/>
          <w:rFonts w:ascii="Arial" w:hAnsi="Arial" w:cs="Arial"/>
        </w:rPr>
      </w:pPr>
      <w:r>
        <w:rPr>
          <w:sz w:val="22"/>
          <w:rFonts w:ascii="Arial" w:hAnsi="Arial"/>
        </w:rPr>
        <w:t xml:space="preserve">2. Talde parlamentarioek, foru parlamentarien elkarteak eta foru parlamentariek ziurtagiri digital baten bitartez sinatu beharko dituzte egindako zuzenketak.</w:t>
      </w:r>
      <w:r>
        <w:rPr>
          <w:sz w:val="22"/>
          <w:rFonts w:ascii="Arial" w:hAnsi="Arial"/>
        </w:rPr>
        <w:t xml:space="preserve"> </w:t>
      </w:r>
      <w:r>
        <w:rPr>
          <w:sz w:val="22"/>
          <w:rFonts w:ascii="Arial" w:hAnsi="Arial"/>
        </w:rPr>
        <w:t xml:space="preserve">Epea bukatu aitzin, Parlamentuko egoitza elektronikoan aurkeztuko dira zuzenketak. Horretarako, beharrezkoa da Diruaren eta Zerga-zigiluaren Fabrika Nazionalaren ziurtagiri digital bat edukitzea.</w:t>
      </w:r>
    </w:p>
    <w:p w14:paraId="68EF0A09" w14:textId="77777777" w:rsidR="00883A71" w:rsidRPr="00023D7A" w:rsidRDefault="00883A71" w:rsidP="00883A71">
      <w:pPr>
        <w:spacing w:after="120" w:line="240" w:lineRule="atLeast"/>
        <w:ind w:firstLine="425"/>
        <w:jc w:val="both"/>
        <w:rPr>
          <w:b/>
          <w:sz w:val="22"/>
          <w:szCs w:val="22"/>
          <w:u w:val="single"/>
          <w:rFonts w:ascii="Arial" w:hAnsi="Arial" w:cs="Arial"/>
        </w:rPr>
      </w:pPr>
      <w:r>
        <w:rPr>
          <w:b/>
          <w:sz w:val="22"/>
          <w:u w:val="single"/>
          <w:rFonts w:ascii="Arial" w:hAnsi="Arial"/>
        </w:rPr>
        <w:t xml:space="preserve">In voce zuzenketak.</w:t>
      </w:r>
    </w:p>
    <w:p w14:paraId="3560E78B" w14:textId="77777777" w:rsidR="00883A71" w:rsidRPr="00023D7A" w:rsidRDefault="00883A71" w:rsidP="00883A71">
      <w:pPr>
        <w:spacing w:after="120" w:line="240" w:lineRule="atLeast"/>
        <w:ind w:firstLine="425"/>
        <w:jc w:val="both"/>
        <w:rPr>
          <w:sz w:val="22"/>
          <w:szCs w:val="22"/>
          <w:rFonts w:ascii="Arial" w:hAnsi="Arial" w:cs="Arial"/>
        </w:rPr>
      </w:pPr>
      <w:r>
        <w:rPr>
          <w:sz w:val="22"/>
          <w:rFonts w:ascii="Arial" w:hAnsi="Arial"/>
        </w:rPr>
        <w:t xml:space="preserve">Zuzenketak aurkezteko epe arrunta bukatuta, Parlamentuko sareko “P:\” unitateko “2025Presupuestos” karpetan Access aplikazio bat ipiniko da, “INVOCE_2024_CrearEnmiendasPartidas.ACCDB” izenekoa, partidei in voce zuzenketak egitekoa, eta zuzenketa mota hau prestatzeko baizik ez da erabiliko.</w:t>
      </w:r>
      <w:r>
        <w:rPr>
          <w:sz w:val="22"/>
          <w:rFonts w:ascii="Arial" w:hAnsi="Arial"/>
        </w:rPr>
        <w:t xml:space="preserve"> </w:t>
      </w:r>
      <w:r>
        <w:rPr>
          <w:sz w:val="22"/>
          <w:rFonts w:ascii="Arial" w:hAnsi="Arial"/>
        </w:rPr>
        <w:t xml:space="preserve">Artikuluei in voce zuzenketak egiteko, “2025_CrearEnmiendasArticulado” izeneko Word-eko plantilla erabiliko da.</w:t>
      </w:r>
    </w:p>
    <w:p w14:paraId="619F8507" w14:textId="77777777" w:rsidR="00883A71" w:rsidRPr="00023D7A" w:rsidRDefault="00883A71" w:rsidP="00883A71">
      <w:pPr>
        <w:spacing w:after="120" w:line="240" w:lineRule="atLeast"/>
        <w:ind w:firstLine="425"/>
        <w:jc w:val="both"/>
        <w:rPr>
          <w:sz w:val="22"/>
          <w:szCs w:val="22"/>
          <w:rFonts w:ascii="Arial" w:hAnsi="Arial" w:cs="Arial"/>
        </w:rPr>
      </w:pPr>
      <w:r>
        <w:rPr>
          <w:sz w:val="22"/>
          <w:rFonts w:ascii="Arial" w:hAnsi="Arial"/>
        </w:rPr>
        <w:t xml:space="preserve">Bilera parlamentarioko eztabaidan adostutako in voce zuzenketetarako, bilera-aretoan eskuragarri egonen dira horien datuekin bete beharreko paperezko ereduak.</w:t>
      </w:r>
    </w:p>
    <w:p w14:paraId="3FBF4CF6" w14:textId="77777777" w:rsidR="00883A71" w:rsidRPr="00023D7A" w:rsidRDefault="00883A71" w:rsidP="00883A71">
      <w:pPr>
        <w:spacing w:after="120" w:line="240" w:lineRule="atLeast"/>
        <w:ind w:firstLine="425"/>
        <w:jc w:val="both"/>
        <w:rPr>
          <w:b/>
          <w:sz w:val="22"/>
          <w:szCs w:val="22"/>
          <w:u w:val="single"/>
          <w:rFonts w:ascii="Arial" w:hAnsi="Arial" w:cs="Arial"/>
        </w:rPr>
      </w:pPr>
      <w:r>
        <w:rPr>
          <w:b/>
          <w:sz w:val="22"/>
          <w:u w:val="single"/>
          <w:rFonts w:ascii="Arial" w:hAnsi="Arial"/>
        </w:rPr>
        <w:t xml:space="preserve">Zuzenketei eta boto partikularrei eustea</w:t>
      </w:r>
    </w:p>
    <w:p w14:paraId="28F85707" w14:textId="77777777" w:rsidR="00883A71" w:rsidRPr="00023D7A" w:rsidRDefault="00883A71" w:rsidP="00883A71">
      <w:pPr>
        <w:spacing w:after="120" w:line="240" w:lineRule="atLeast"/>
        <w:ind w:firstLine="425"/>
        <w:jc w:val="both"/>
        <w:rPr>
          <w:b/>
          <w:sz w:val="22"/>
          <w:szCs w:val="22"/>
          <w:rFonts w:ascii="Arial" w:hAnsi="Arial" w:cs="Arial"/>
        </w:rPr>
      </w:pPr>
      <w:r>
        <w:rPr>
          <w:sz w:val="22"/>
          <w:rFonts w:ascii="Arial" w:hAnsi="Arial"/>
        </w:rPr>
        <w:t xml:space="preserve">Zuzenketei eta boto partikularrei eusteko, talde parlamentarioek, foru parlamentarien elkarteak eta banakako foru parlamentariek horretarako diseinaturik dagoen plantilla erabiliko dute, zeina eskueran izanen baitute Parlamentuko sareko “P:\” unitateko “2025Presupuestos” izeneko karpetan.</w:t>
      </w:r>
      <w:r>
        <w:rPr>
          <w:sz w:val="22"/>
          <w:rFonts w:ascii="Arial" w:hAnsi="Arial"/>
        </w:rPr>
        <w:t xml:space="preserve"> </w:t>
      </w:r>
      <w:r>
        <w:rPr>
          <w:sz w:val="22"/>
          <w:rFonts w:ascii="Arial" w:hAnsi="Arial"/>
        </w:rPr>
        <w:t xml:space="preserve">Hauxe da plantilla-dokumentuaren izena: Plantilla_Mantenimiento de enmiendas.doc.</w:t>
      </w:r>
    </w:p>
    <w:p w14:paraId="5A2F8354" w14:textId="77777777" w:rsidR="00883A71" w:rsidRPr="00023D7A" w:rsidRDefault="00883A71" w:rsidP="00883A71">
      <w:pPr>
        <w:spacing w:after="120" w:line="240" w:lineRule="atLeast"/>
        <w:ind w:firstLine="425"/>
        <w:jc w:val="both"/>
        <w:rPr>
          <w:rFonts w:ascii="Arial" w:hAnsi="Arial" w:cs="Arial"/>
          <w:b/>
          <w:sz w:val="22"/>
          <w:szCs w:val="22"/>
          <w:lang w:val="es-ES_tradnl"/>
        </w:rPr>
      </w:pPr>
    </w:p>
    <w:p w14:paraId="6BCE1AE9" w14:textId="77777777" w:rsidR="00883A71" w:rsidRPr="00023D7A" w:rsidRDefault="00883A71" w:rsidP="00883A71">
      <w:pPr>
        <w:spacing w:after="120" w:line="240" w:lineRule="atLeast"/>
        <w:ind w:firstLine="425"/>
        <w:jc w:val="both"/>
        <w:rPr>
          <w:b/>
          <w:sz w:val="22"/>
          <w:szCs w:val="22"/>
          <w:u w:val="single"/>
          <w:rFonts w:ascii="Arial" w:hAnsi="Arial" w:cs="Arial"/>
        </w:rPr>
      </w:pPr>
      <w:r>
        <w:rPr>
          <w:b/>
          <w:sz w:val="22"/>
          <w:u w:val="single"/>
          <w:rFonts w:ascii="Arial" w:hAnsi="Arial"/>
        </w:rPr>
        <w:t xml:space="preserve">Aurrekontu-partiden kodifikazioaren tratamendua.</w:t>
      </w:r>
    </w:p>
    <w:p w14:paraId="5CEB3DFA" w14:textId="77777777" w:rsidR="00883A71" w:rsidRPr="00023D7A" w:rsidRDefault="00883A71" w:rsidP="00883A71">
      <w:pPr>
        <w:spacing w:after="120" w:line="240" w:lineRule="atLeast"/>
        <w:ind w:firstLine="425"/>
        <w:jc w:val="both"/>
        <w:rPr>
          <w:rFonts w:ascii="Arial" w:hAnsi="Arial" w:cs="Arial"/>
          <w:b/>
          <w:sz w:val="22"/>
          <w:szCs w:val="22"/>
          <w:u w:val="single"/>
          <w:lang w:val="es-ES_tradnl"/>
        </w:rPr>
      </w:pPr>
    </w:p>
    <w:p w14:paraId="47B577DC"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kern w:val="0"/>
          <w:sz w:val="22"/>
          <w:szCs w:val="20"/>
          <w:u w:val="single"/>
          <w:rFonts w:ascii="Arial" w:eastAsia="Times New Roman" w:hAnsi="Arial"/>
        </w:rPr>
      </w:pPr>
      <w:r>
        <w:rPr>
          <w:sz w:val="22"/>
          <w:u w:val="single"/>
          <w:rFonts w:ascii="Arial" w:hAnsi="Arial"/>
        </w:rPr>
        <w:t xml:space="preserve">1. Zuzenketa teknikoa.</w:t>
      </w:r>
    </w:p>
    <w:p w14:paraId="17C41D2C"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u w:val="single"/>
          <w:lang w:val="es-ES_tradnl" w:eastAsia="es-ES"/>
        </w:rPr>
      </w:pPr>
    </w:p>
    <w:p w14:paraId="599FEA30" w14:textId="77777777" w:rsidR="00883A71" w:rsidRPr="00023D7A" w:rsidRDefault="00883A71" w:rsidP="00883A71">
      <w:pPr>
        <w:spacing w:after="120" w:line="240" w:lineRule="atLeast"/>
        <w:ind w:firstLine="425"/>
        <w:jc w:val="both"/>
        <w:rPr>
          <w:sz w:val="22"/>
          <w:szCs w:val="22"/>
          <w:rFonts w:ascii="Arial" w:hAnsi="Arial" w:cs="Arial"/>
        </w:rPr>
      </w:pPr>
      <w:r>
        <w:rPr>
          <w:sz w:val="22"/>
          <w:rFonts w:ascii="Arial" w:hAnsi="Arial"/>
        </w:rPr>
        <w:t xml:space="preserve">Zuzendutako partiden kodifikazio okerra legelariak zuzenduko du, eta zuzenketa tekniko gisa gehituko da.</w:t>
      </w:r>
    </w:p>
    <w:p w14:paraId="66E81F08" w14:textId="77777777" w:rsidR="00883A71" w:rsidRDefault="00883A71" w:rsidP="00883A71">
      <w:pPr>
        <w:spacing w:after="120" w:line="240" w:lineRule="atLeast"/>
        <w:ind w:firstLine="425"/>
        <w:jc w:val="both"/>
        <w:rPr>
          <w:rFonts w:ascii="Arial" w:hAnsi="Arial" w:cs="Arial"/>
          <w:sz w:val="22"/>
          <w:szCs w:val="22"/>
        </w:rPr>
      </w:pPr>
    </w:p>
    <w:p w14:paraId="71FB6FD0" w14:textId="77777777" w:rsidR="00883A71" w:rsidRPr="00023D7A" w:rsidRDefault="00883A71" w:rsidP="00883A71">
      <w:pPr>
        <w:spacing w:after="120" w:line="240" w:lineRule="atLeast"/>
        <w:ind w:firstLine="425"/>
        <w:jc w:val="both"/>
        <w:rPr>
          <w:rFonts w:ascii="Arial" w:hAnsi="Arial" w:cs="Arial"/>
          <w:sz w:val="22"/>
          <w:szCs w:val="22"/>
        </w:rPr>
      </w:pPr>
    </w:p>
    <w:p w14:paraId="55FD6CB5"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kern w:val="0"/>
          <w:sz w:val="22"/>
          <w:szCs w:val="20"/>
          <w:u w:val="single"/>
          <w:rFonts w:ascii="Arial" w:eastAsia="Times New Roman" w:hAnsi="Arial"/>
        </w:rPr>
      </w:pPr>
      <w:r>
        <w:rPr>
          <w:sz w:val="22"/>
          <w:u w:val="single"/>
          <w:rFonts w:ascii="Arial" w:hAnsi="Arial"/>
        </w:rPr>
        <w:t xml:space="preserve">2. Osatze teknikoa.</w:t>
      </w:r>
    </w:p>
    <w:p w14:paraId="76403630"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u w:val="single"/>
          <w:lang w:val="es-ES_tradnl" w:eastAsia="es-ES"/>
        </w:rPr>
      </w:pPr>
    </w:p>
    <w:p w14:paraId="186BD8DC" w14:textId="77777777" w:rsidR="00883A71" w:rsidRPr="00023D7A" w:rsidRDefault="00883A71" w:rsidP="00883A71">
      <w:pPr>
        <w:spacing w:after="120" w:line="240" w:lineRule="atLeast"/>
        <w:ind w:firstLine="425"/>
        <w:jc w:val="both"/>
        <w:rPr>
          <w:sz w:val="22"/>
          <w:szCs w:val="22"/>
          <w:rFonts w:ascii="Arial" w:hAnsi="Arial" w:cs="Arial"/>
        </w:rPr>
      </w:pPr>
      <w:r>
        <w:rPr>
          <w:sz w:val="22"/>
          <w:rFonts w:ascii="Arial" w:hAnsi="Arial"/>
        </w:rPr>
        <w:t xml:space="preserve">Kodifikaziorik ez duten partidei aurkeztutako gehitzeko zuzenketak legelariak osatuko ditu Nafarroako Gobernuko Ekonomia eta Ogasun Departamentuko Aurrekontuen Atalarekin lankidetzan.</w:t>
      </w:r>
      <w:r>
        <w:rPr>
          <w:sz w:val="22"/>
          <w:rFonts w:ascii="Arial" w:hAnsi="Arial"/>
        </w:rPr>
        <w:t xml:space="preserve"> </w:t>
      </w:r>
      <w:r>
        <w:rPr>
          <w:sz w:val="22"/>
          <w:rFonts w:ascii="Arial" w:hAnsi="Arial"/>
        </w:rPr>
        <w:t xml:space="preserve">Osatze hori kode organikoari, ekonomikoari eta funtzionalari buruzkoa izanen da soil-soilik.</w:t>
      </w:r>
    </w:p>
    <w:p w14:paraId="7C6B287D" w14:textId="77777777" w:rsidR="00883A71" w:rsidRPr="00023D7A" w:rsidRDefault="00883A71" w:rsidP="00883A71">
      <w:pPr>
        <w:spacing w:after="120" w:line="240" w:lineRule="atLeast"/>
        <w:ind w:firstLine="425"/>
        <w:jc w:val="both"/>
        <w:rPr>
          <w:rFonts w:ascii="Arial" w:hAnsi="Arial" w:cs="Arial"/>
          <w:sz w:val="22"/>
          <w:szCs w:val="22"/>
          <w:lang w:val="es-ES_tradnl"/>
        </w:rPr>
      </w:pPr>
    </w:p>
    <w:p w14:paraId="35FD48EF"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kern w:val="0"/>
          <w:sz w:val="22"/>
          <w:szCs w:val="20"/>
          <w:u w:val="single"/>
          <w:rFonts w:ascii="Arial" w:eastAsia="Times New Roman" w:hAnsi="Arial"/>
        </w:rPr>
      </w:pPr>
      <w:r>
        <w:rPr>
          <w:sz w:val="22"/>
          <w:u w:val="single"/>
          <w:rFonts w:ascii="Arial" w:hAnsi="Arial"/>
        </w:rPr>
        <w:t xml:space="preserve">3. Gehitzeko zuzenketak.</w:t>
      </w:r>
    </w:p>
    <w:p w14:paraId="50E3C6AD"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u w:val="single"/>
          <w:lang w:val="es-ES_tradnl" w:eastAsia="es-ES"/>
        </w:rPr>
      </w:pPr>
    </w:p>
    <w:p w14:paraId="4D49AA1F" w14:textId="77777777" w:rsidR="00883A71" w:rsidRPr="00023D7A" w:rsidRDefault="00883A71" w:rsidP="00883A71">
      <w:pPr>
        <w:spacing w:after="120" w:line="240" w:lineRule="atLeast"/>
        <w:ind w:firstLine="425"/>
        <w:jc w:val="both"/>
        <w:rPr>
          <w:sz w:val="22"/>
          <w:szCs w:val="22"/>
          <w:rFonts w:ascii="Arial" w:hAnsi="Arial" w:cs="Arial"/>
        </w:rPr>
      </w:pPr>
      <w:r>
        <w:rPr>
          <w:sz w:val="22"/>
          <w:rFonts w:ascii="Arial" w:hAnsi="Arial"/>
        </w:rPr>
        <w:t xml:space="preserve">Aurrekontu-proiektuko partiden kodifikazioa aldatu nahi denean, gehitzeko zuzenketa baten bidez eginen da.</w:t>
      </w:r>
    </w:p>
    <w:p w14:paraId="1E1047D9" w14:textId="77777777" w:rsidR="00883A71" w:rsidRPr="00023D7A" w:rsidRDefault="00883A71" w:rsidP="00883A71">
      <w:pPr>
        <w:spacing w:after="120" w:line="240" w:lineRule="atLeast"/>
        <w:ind w:firstLine="425"/>
        <w:jc w:val="both"/>
        <w:rPr>
          <w:rFonts w:ascii="Arial" w:hAnsi="Arial" w:cs="Arial"/>
          <w:sz w:val="22"/>
          <w:szCs w:val="22"/>
          <w:lang w:val="es-ES_tradnl"/>
        </w:rPr>
      </w:pPr>
    </w:p>
    <w:p w14:paraId="71A1087A" w14:textId="77777777" w:rsidR="00883A71" w:rsidRPr="00023D7A" w:rsidRDefault="00883A71" w:rsidP="00883A71">
      <w:pPr>
        <w:spacing w:after="120" w:line="240" w:lineRule="atLeast"/>
        <w:ind w:firstLine="425"/>
        <w:jc w:val="both"/>
        <w:rPr>
          <w:sz w:val="22"/>
          <w:szCs w:val="22"/>
          <w:rFonts w:ascii="Arial" w:hAnsi="Arial" w:cs="Arial"/>
        </w:rPr>
      </w:pPr>
      <w:r>
        <w:rPr>
          <w:b/>
          <w:sz w:val="22"/>
          <w:u w:val="single"/>
          <w:rFonts w:ascii="Arial" w:hAnsi="Arial"/>
        </w:rPr>
        <w:t xml:space="preserve">Gehitzeko zuzenketetako partiden izenetarako estilo-doikuntzak</w:t>
      </w:r>
    </w:p>
    <w:p w14:paraId="49CF1673"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lang w:val="es-ES_tradnl" w:eastAsia="es-ES"/>
        </w:rPr>
      </w:pPr>
    </w:p>
    <w:p w14:paraId="289D036F"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kern w:val="0"/>
          <w:sz w:val="22"/>
          <w:szCs w:val="20"/>
          <w:rFonts w:ascii="Arial" w:eastAsia="Times New Roman" w:hAnsi="Arial"/>
        </w:rPr>
      </w:pPr>
      <w:r>
        <w:rPr>
          <w:sz w:val="22"/>
          <w:rFonts w:ascii="Arial" w:hAnsi="Arial"/>
        </w:rPr>
        <w:t xml:space="preserve">Partidei egindako gehitzeko zuzenketetan, partiden izenetarako estilo-doikuntzak legelariak osatuko ditu Nafarroako Gobernuko Ekonomia eta Ogasun Departamentuko Aurrekontuen Atalarekin lankidetzan.</w:t>
      </w:r>
    </w:p>
    <w:p w14:paraId="2A998202"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rFonts w:ascii="Arial" w:eastAsia="Times New Roman" w:hAnsi="Arial"/>
          <w:kern w:val="0"/>
          <w:sz w:val="22"/>
          <w:szCs w:val="20"/>
          <w:lang w:val="es-ES_tradnl" w:eastAsia="es-ES"/>
        </w:rPr>
      </w:pPr>
    </w:p>
    <w:p w14:paraId="5E1D418B" w14:textId="77777777" w:rsidR="00883A71" w:rsidRPr="00023D7A" w:rsidRDefault="00883A71" w:rsidP="00883A71">
      <w:pPr>
        <w:overflowPunct w:val="0"/>
        <w:autoSpaceDE w:val="0"/>
        <w:autoSpaceDN w:val="0"/>
        <w:adjustRightInd w:val="0"/>
        <w:spacing w:after="0" w:line="240" w:lineRule="auto"/>
        <w:ind w:firstLine="426"/>
        <w:jc w:val="both"/>
        <w:textAlignment w:val="baseline"/>
        <w:rPr>
          <w:kern w:val="0"/>
          <w:sz w:val="22"/>
          <w:szCs w:val="20"/>
          <w:rFonts w:ascii="Arial" w:eastAsia="Times New Roman" w:hAnsi="Arial"/>
        </w:rPr>
      </w:pPr>
      <w:r>
        <w:rPr>
          <w:sz w:val="22"/>
          <w:rFonts w:ascii="Arial" w:hAnsi="Arial"/>
        </w:rPr>
        <w:t xml:space="preserve">Helarazten diren estilo-doikuntzak, halakorik balego, dagokion departamentuaren batzordean eztabaidatu eta hurrengo egunean igorriko dira, eta, betiere, irizpena onetsi aurreko egunean.</w:t>
      </w:r>
    </w:p>
    <w:p w14:paraId="2916F3F8" w14:textId="77777777" w:rsidR="00883A71" w:rsidRPr="00023D7A" w:rsidRDefault="00883A71" w:rsidP="00B627FC">
      <w:pPr>
        <w:spacing w:after="120" w:line="240" w:lineRule="atLeast"/>
        <w:ind w:firstLine="425"/>
        <w:jc w:val="both"/>
        <w:rPr>
          <w:rFonts w:ascii="Arial" w:hAnsi="Arial" w:cs="Arial"/>
          <w:iCs/>
          <w:sz w:val="22"/>
          <w:szCs w:val="22"/>
          <w:lang w:val="eu-ES"/>
        </w:rPr>
      </w:pPr>
    </w:p>
    <w:p w14:paraId="2C6E70AD" w14:textId="77777777" w:rsidR="00B065BA" w:rsidRDefault="00B065BA"/>
    <w:sectPr w:rsidR="00B065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FC"/>
    <w:rsid w:val="000370A0"/>
    <w:rsid w:val="000820DB"/>
    <w:rsid w:val="001E34F2"/>
    <w:rsid w:val="00242C60"/>
    <w:rsid w:val="00337EB8"/>
    <w:rsid w:val="003C1B1F"/>
    <w:rsid w:val="006F2590"/>
    <w:rsid w:val="00845D68"/>
    <w:rsid w:val="00883A71"/>
    <w:rsid w:val="008A3285"/>
    <w:rsid w:val="00956302"/>
    <w:rsid w:val="00A536E1"/>
    <w:rsid w:val="00A6590A"/>
    <w:rsid w:val="00AD383F"/>
    <w:rsid w:val="00B065BA"/>
    <w:rsid w:val="00B42A30"/>
    <w:rsid w:val="00B627FC"/>
    <w:rsid w:val="00D210C7"/>
    <w:rsid w:val="00D241A8"/>
    <w:rsid w:val="00DA5EAD"/>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7E9C"/>
  <w15:chartTrackingRefBased/>
  <w15:docId w15:val="{E7223B28-F58B-48B6-8069-4A784C78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7FC"/>
    <w:pPr>
      <w:spacing w:line="278" w:lineRule="auto"/>
    </w:pPr>
    <w:rPr>
      <w:rFonts w:ascii="Aptos" w:eastAsia="Aptos" w:hAnsi="Aptos" w:cs="Times New Roman"/>
      <w:sz w:val="24"/>
      <w:szCs w:val="24"/>
      <w14:ligatures w14:val="none"/>
    </w:rPr>
  </w:style>
  <w:style w:type="paragraph" w:styleId="Ttulo1">
    <w:name w:val="heading 1"/>
    <w:basedOn w:val="Normal"/>
    <w:next w:val="Normal"/>
    <w:link w:val="Ttulo1Car"/>
    <w:uiPriority w:val="9"/>
    <w:qFormat/>
    <w:rsid w:val="00B627F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B627F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B627F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B627FC"/>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Ttulo5">
    <w:name w:val="heading 5"/>
    <w:basedOn w:val="Normal"/>
    <w:next w:val="Normal"/>
    <w:link w:val="Ttulo5Car"/>
    <w:uiPriority w:val="9"/>
    <w:semiHidden/>
    <w:unhideWhenUsed/>
    <w:qFormat/>
    <w:rsid w:val="00B627FC"/>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Ttulo6">
    <w:name w:val="heading 6"/>
    <w:basedOn w:val="Normal"/>
    <w:next w:val="Normal"/>
    <w:link w:val="Ttulo6Car"/>
    <w:uiPriority w:val="9"/>
    <w:semiHidden/>
    <w:unhideWhenUsed/>
    <w:qFormat/>
    <w:rsid w:val="00B627FC"/>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Ttulo7">
    <w:name w:val="heading 7"/>
    <w:basedOn w:val="Normal"/>
    <w:next w:val="Normal"/>
    <w:link w:val="Ttulo7Car"/>
    <w:uiPriority w:val="9"/>
    <w:semiHidden/>
    <w:unhideWhenUsed/>
    <w:qFormat/>
    <w:rsid w:val="00B627FC"/>
    <w:pPr>
      <w:keepNext/>
      <w:keepLines/>
      <w:spacing w:before="40" w:after="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Ttulo8">
    <w:name w:val="heading 8"/>
    <w:basedOn w:val="Normal"/>
    <w:next w:val="Normal"/>
    <w:link w:val="Ttulo8Car"/>
    <w:uiPriority w:val="9"/>
    <w:semiHidden/>
    <w:unhideWhenUsed/>
    <w:qFormat/>
    <w:rsid w:val="00B627FC"/>
    <w:pPr>
      <w:keepNext/>
      <w:keepLines/>
      <w:spacing w:after="0"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Ttulo9">
    <w:name w:val="heading 9"/>
    <w:basedOn w:val="Normal"/>
    <w:next w:val="Normal"/>
    <w:link w:val="Ttulo9Car"/>
    <w:uiPriority w:val="9"/>
    <w:semiHidden/>
    <w:unhideWhenUsed/>
    <w:qFormat/>
    <w:rsid w:val="00B627FC"/>
    <w:pPr>
      <w:keepNext/>
      <w:keepLines/>
      <w:spacing w:after="0"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7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27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27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27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27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27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27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27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27FC"/>
    <w:rPr>
      <w:rFonts w:eastAsiaTheme="majorEastAsia" w:cstheme="majorBidi"/>
      <w:color w:val="272727" w:themeColor="text1" w:themeTint="D8"/>
    </w:rPr>
  </w:style>
  <w:style w:type="paragraph" w:styleId="Ttulo">
    <w:name w:val="Title"/>
    <w:basedOn w:val="Normal"/>
    <w:next w:val="Normal"/>
    <w:link w:val="TtuloCar"/>
    <w:uiPriority w:val="10"/>
    <w:qFormat/>
    <w:rsid w:val="00B627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B627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27FC"/>
    <w:pPr>
      <w:numPr>
        <w:ilvl w:val="1"/>
      </w:numPr>
      <w:spacing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B627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27FC"/>
    <w:pPr>
      <w:spacing w:before="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Car">
    <w:name w:val="Cita Car"/>
    <w:basedOn w:val="Fuentedeprrafopredeter"/>
    <w:link w:val="Cita"/>
    <w:uiPriority w:val="29"/>
    <w:rsid w:val="00B627FC"/>
    <w:rPr>
      <w:i/>
      <w:iCs/>
      <w:color w:val="404040" w:themeColor="text1" w:themeTint="BF"/>
    </w:rPr>
  </w:style>
  <w:style w:type="paragraph" w:styleId="Prrafodelista">
    <w:name w:val="List Paragraph"/>
    <w:basedOn w:val="Normal"/>
    <w:uiPriority w:val="34"/>
    <w:qFormat/>
    <w:rsid w:val="00B627FC"/>
    <w:pPr>
      <w:spacing w:line="259" w:lineRule="auto"/>
      <w:ind w:left="720"/>
      <w:contextualSpacing/>
    </w:pPr>
    <w:rPr>
      <w:rFonts w:asciiTheme="minorHAnsi" w:eastAsiaTheme="minorHAnsi" w:hAnsiTheme="minorHAnsi" w:cstheme="minorBidi"/>
      <w:sz w:val="22"/>
      <w:szCs w:val="22"/>
      <w14:ligatures w14:val="standardContextual"/>
    </w:rPr>
  </w:style>
  <w:style w:type="character" w:styleId="nfasisintenso">
    <w:name w:val="Intense Emphasis"/>
    <w:basedOn w:val="Fuentedeprrafopredeter"/>
    <w:uiPriority w:val="21"/>
    <w:qFormat/>
    <w:rsid w:val="00B627FC"/>
    <w:rPr>
      <w:i/>
      <w:iCs/>
      <w:color w:val="0F4761" w:themeColor="accent1" w:themeShade="BF"/>
    </w:rPr>
  </w:style>
  <w:style w:type="paragraph" w:styleId="Citadestacada">
    <w:name w:val="Intense Quote"/>
    <w:basedOn w:val="Normal"/>
    <w:next w:val="Normal"/>
    <w:link w:val="CitadestacadaCar"/>
    <w:uiPriority w:val="30"/>
    <w:qFormat/>
    <w:rsid w:val="00B627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CitadestacadaCar">
    <w:name w:val="Cita destacada Car"/>
    <w:basedOn w:val="Fuentedeprrafopredeter"/>
    <w:link w:val="Citadestacada"/>
    <w:uiPriority w:val="30"/>
    <w:rsid w:val="00B627FC"/>
    <w:rPr>
      <w:i/>
      <w:iCs/>
      <w:color w:val="0F4761" w:themeColor="accent1" w:themeShade="BF"/>
    </w:rPr>
  </w:style>
  <w:style w:type="character" w:styleId="Referenciaintensa">
    <w:name w:val="Intense Reference"/>
    <w:basedOn w:val="Fuentedeprrafopredeter"/>
    <w:uiPriority w:val="32"/>
    <w:qFormat/>
    <w:rsid w:val="00B627FC"/>
    <w:rPr>
      <w:b/>
      <w:bCs/>
      <w:smallCaps/>
      <w:color w:val="0F4761" w:themeColor="accent1" w:themeShade="BF"/>
      <w:spacing w:val="5"/>
    </w:rPr>
  </w:style>
  <w:style w:type="paragraph" w:customStyle="1" w:styleId="OFI-CERT-MESA">
    <w:name w:val="OFI-CERT-MESA"/>
    <w:basedOn w:val="Normal"/>
    <w:rsid w:val="00883A71"/>
    <w:pPr>
      <w:overflowPunct w:val="0"/>
      <w:autoSpaceDE w:val="0"/>
      <w:autoSpaceDN w:val="0"/>
      <w:adjustRightInd w:val="0"/>
      <w:spacing w:before="240" w:after="240" w:line="240" w:lineRule="auto"/>
      <w:jc w:val="both"/>
      <w:textAlignment w:val="baseline"/>
    </w:pPr>
    <w:rPr>
      <w:rFonts w:ascii="Arial" w:eastAsia="Times New Roman" w:hAnsi="Arial"/>
      <w:b/>
      <w:kern w:val="0"/>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2200</Words>
  <Characters>12102</Characters>
  <Application>Microsoft Office Word</Application>
  <DocSecurity>0</DocSecurity>
  <Lines>100</Lines>
  <Paragraphs>28</Paragraphs>
  <ScaleCrop>false</ScaleCrop>
  <Company>HP Inc.</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2024-10-31T09:52:00Z</dcterms:created>
  <dcterms:modified xsi:type="dcterms:W3CDTF">2024-10-31T09:57:00Z</dcterms:modified>
</cp:coreProperties>
</file>