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0404" w14:textId="77777777" w:rsidR="0051137A" w:rsidRPr="006B72F8" w:rsidRDefault="0051137A" w:rsidP="006B72F8">
      <w:pPr>
        <w:pStyle w:val="Style"/>
        <w:spacing w:before="100" w:beforeAutospacing="1" w:after="200" w:line="276" w:lineRule="auto"/>
        <w:ind w:rightChars="567" w:right="1247"/>
        <w:jc w:val="both"/>
        <w:textAlignment w:val="baseline"/>
        <w:rPr>
          <w:rFonts w:ascii="Calibri" w:eastAsia="Arial" w:hAnsi="Calibri" w:cs="Calibri"/>
          <w:sz w:val="22"/>
          <w:szCs w:val="22"/>
        </w:rPr>
      </w:pPr>
    </w:p>
    <w:p w14:paraId="5EFD8809" w14:textId="17A7E06C" w:rsidR="00296FB3" w:rsidRPr="006B72F8" w:rsidRDefault="00474C00" w:rsidP="006B72F8">
      <w:pPr>
        <w:pStyle w:val="Style"/>
        <w:spacing w:before="100" w:beforeAutospacing="1" w:after="200" w:line="276" w:lineRule="auto"/>
        <w:ind w:leftChars="567" w:left="1247" w:rightChars="567" w:right="1247"/>
        <w:jc w:val="both"/>
        <w:textAlignment w:val="baseline"/>
        <w:rPr>
          <w:rFonts w:ascii="Calibri" w:eastAsia="Arial" w:hAnsi="Calibri" w:cs="Calibri"/>
          <w:b/>
          <w:bCs/>
          <w:sz w:val="22"/>
          <w:szCs w:val="22"/>
        </w:rPr>
      </w:pPr>
      <w:r w:rsidRPr="006B72F8">
        <w:rPr>
          <w:rFonts w:ascii="Calibri" w:eastAsia="Arial" w:hAnsi="Calibri" w:cs="Calibri"/>
          <w:b/>
          <w:bCs/>
          <w:sz w:val="22"/>
          <w:szCs w:val="22"/>
        </w:rPr>
        <w:t xml:space="preserve">Contestación del </w:t>
      </w:r>
      <w:r w:rsidR="00AD7553" w:rsidRPr="006B72F8">
        <w:rPr>
          <w:rFonts w:ascii="Calibri" w:eastAsia="Arial" w:hAnsi="Calibri" w:cs="Calibri"/>
          <w:b/>
          <w:bCs/>
          <w:sz w:val="22"/>
          <w:szCs w:val="22"/>
        </w:rPr>
        <w:t xml:space="preserve">Consejero de </w:t>
      </w:r>
      <w:r w:rsidR="00A10269" w:rsidRPr="006B72F8">
        <w:rPr>
          <w:rFonts w:ascii="Calibri" w:eastAsia="Arial" w:hAnsi="Calibri" w:cs="Calibri"/>
          <w:b/>
          <w:bCs/>
          <w:sz w:val="22"/>
          <w:szCs w:val="22"/>
        </w:rPr>
        <w:t>Economía</w:t>
      </w:r>
    </w:p>
    <w:p w14:paraId="64A68DF6" w14:textId="2F2F6452"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El Consejero del Departamento de </w:t>
      </w:r>
      <w:r w:rsidR="00633DC2" w:rsidRPr="006B72F8">
        <w:rPr>
          <w:rFonts w:ascii="Calibri" w:eastAsia="Arial" w:hAnsi="Calibri" w:cs="Calibri"/>
          <w:sz w:val="22"/>
          <w:szCs w:val="22"/>
        </w:rPr>
        <w:t>Economía</w:t>
      </w:r>
      <w:r w:rsidRPr="006B72F8">
        <w:rPr>
          <w:rFonts w:ascii="Calibri" w:eastAsia="Arial" w:hAnsi="Calibri" w:cs="Calibri"/>
          <w:sz w:val="22"/>
          <w:szCs w:val="22"/>
        </w:rPr>
        <w:t xml:space="preserve"> y Hacienda, en relación a la Pregunta escrita formulada por Dña. Laura </w:t>
      </w:r>
      <w:proofErr w:type="spellStart"/>
      <w:r w:rsidRPr="006B72F8">
        <w:rPr>
          <w:rFonts w:ascii="Calibri" w:eastAsia="Arial" w:hAnsi="Calibri" w:cs="Calibri"/>
          <w:sz w:val="22"/>
          <w:szCs w:val="22"/>
        </w:rPr>
        <w:t>Aznal</w:t>
      </w:r>
      <w:proofErr w:type="spellEnd"/>
      <w:r w:rsidRPr="006B72F8">
        <w:rPr>
          <w:rFonts w:ascii="Calibri" w:eastAsia="Arial" w:hAnsi="Calibri" w:cs="Calibri"/>
          <w:sz w:val="22"/>
          <w:szCs w:val="22"/>
        </w:rPr>
        <w:t xml:space="preserve"> Nafarroa, parlamentaria foral adscrita al Grupo Parlamentario EH Bildu Nafarroa, registrada con número de salida del Parlamento de Navarra 202404726, de 23 de julio de 2024, (11-24/PES-341), solicitando diversa información relativa a las ayudas, subvenciones y beneficios fiscales aplicados por la empresa M</w:t>
      </w:r>
      <w:r w:rsidR="00296FB3" w:rsidRPr="006B72F8">
        <w:rPr>
          <w:rFonts w:ascii="Calibri" w:eastAsia="Arial" w:hAnsi="Calibri" w:cs="Calibri"/>
          <w:sz w:val="22"/>
          <w:szCs w:val="22"/>
        </w:rPr>
        <w:t>ondelez</w:t>
      </w:r>
      <w:r w:rsidRPr="006B72F8">
        <w:rPr>
          <w:rFonts w:ascii="Calibri" w:eastAsia="Arial" w:hAnsi="Calibri" w:cs="Calibri"/>
          <w:sz w:val="22"/>
          <w:szCs w:val="22"/>
        </w:rPr>
        <w:t xml:space="preserve"> de Viana, tiene el honor de informarle lo siguiente: </w:t>
      </w:r>
    </w:p>
    <w:p w14:paraId="42B455AE" w14:textId="41A150D3"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Ha de tenerse en cuenta el contenido de la petición: se refiere a ayudas o subvenciones y beneficios fiscales aplicados por la empresa </w:t>
      </w:r>
      <w:r w:rsidR="00296FB3" w:rsidRPr="006B72F8">
        <w:rPr>
          <w:rFonts w:ascii="Calibri" w:eastAsia="Arial" w:hAnsi="Calibri" w:cs="Calibri"/>
          <w:sz w:val="22"/>
          <w:szCs w:val="22"/>
        </w:rPr>
        <w:t>Mondelez</w:t>
      </w:r>
      <w:r w:rsidRPr="006B72F8">
        <w:rPr>
          <w:rFonts w:ascii="Calibri" w:eastAsia="Arial" w:hAnsi="Calibri" w:cs="Calibri"/>
          <w:sz w:val="22"/>
          <w:szCs w:val="22"/>
        </w:rPr>
        <w:t xml:space="preserve"> de Viana. Con arreglo a ello, se considera que la parlamentaria solicitante pretende distinguir precisamente entre los conceptos de ayudas o subvenciones y de beneficios fiscales, en razón de su diferente calificación y alcance. </w:t>
      </w:r>
    </w:p>
    <w:p w14:paraId="2BB8C5E8" w14:textId="77777777"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Así, la Ley Foral 11/2005, de 9 de noviembre, de subvenciones, establece en su artículo 2.1 que se entiende por subvención toda disposición dineraria realizada a favor de personas públicas o privadas, y que cumpla los siguientes requisitos: </w:t>
      </w:r>
    </w:p>
    <w:p w14:paraId="42BD87CF" w14:textId="77777777" w:rsidR="0051137A" w:rsidRPr="006B72F8" w:rsidRDefault="00A10269" w:rsidP="006B72F8">
      <w:pPr>
        <w:pStyle w:val="Style"/>
        <w:numPr>
          <w:ilvl w:val="0"/>
          <w:numId w:val="1"/>
        </w:numPr>
        <w:spacing w:before="100" w:beforeAutospacing="1" w:after="200" w:line="276" w:lineRule="auto"/>
        <w:ind w:leftChars="567" w:left="1578" w:rightChars="567" w:right="1247" w:hanging="331"/>
        <w:jc w:val="both"/>
        <w:textAlignment w:val="baseline"/>
        <w:rPr>
          <w:rFonts w:ascii="Calibri" w:hAnsi="Calibri" w:cs="Calibri"/>
          <w:sz w:val="22"/>
          <w:szCs w:val="22"/>
        </w:rPr>
      </w:pPr>
      <w:r w:rsidRPr="006B72F8">
        <w:rPr>
          <w:rFonts w:ascii="Calibri" w:eastAsia="Arial" w:hAnsi="Calibri" w:cs="Calibri"/>
          <w:sz w:val="22"/>
          <w:szCs w:val="22"/>
        </w:rPr>
        <w:t xml:space="preserve">Que la entrega se realice sin contraprestación directa de los beneficiarios ni de terceras personas. </w:t>
      </w:r>
    </w:p>
    <w:p w14:paraId="77DE367D" w14:textId="40880554" w:rsidR="00296FB3" w:rsidRPr="006B72F8" w:rsidRDefault="00A10269" w:rsidP="006B72F8">
      <w:pPr>
        <w:pStyle w:val="Style"/>
        <w:numPr>
          <w:ilvl w:val="0"/>
          <w:numId w:val="2"/>
        </w:numPr>
        <w:spacing w:before="100" w:beforeAutospacing="1" w:after="200" w:line="276" w:lineRule="auto"/>
        <w:ind w:leftChars="567" w:left="1570" w:rightChars="567" w:right="1247" w:hanging="323"/>
        <w:jc w:val="both"/>
        <w:textAlignment w:val="baseline"/>
        <w:rPr>
          <w:rFonts w:ascii="Calibri" w:hAnsi="Calibri" w:cs="Calibri"/>
          <w:sz w:val="22"/>
          <w:szCs w:val="22"/>
        </w:rPr>
      </w:pPr>
      <w:r w:rsidRPr="006B72F8">
        <w:rPr>
          <w:rFonts w:ascii="Calibri" w:eastAsia="Arial" w:hAnsi="Calibri" w:cs="Calibri"/>
          <w:sz w:val="22"/>
          <w:szCs w:val="22"/>
        </w:rPr>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r w:rsidR="0051137A" w:rsidRPr="006B72F8">
        <w:rPr>
          <w:rFonts w:ascii="Calibri" w:eastAsia="Arial" w:hAnsi="Calibri" w:cs="Calibri"/>
          <w:sz w:val="22"/>
          <w:szCs w:val="22"/>
        </w:rPr>
        <w:t>.</w:t>
      </w:r>
    </w:p>
    <w:p w14:paraId="3DAF1537" w14:textId="77777777" w:rsidR="0051137A" w:rsidRPr="006B72F8" w:rsidRDefault="0051137A" w:rsidP="006B72F8">
      <w:pPr>
        <w:pStyle w:val="Style"/>
        <w:numPr>
          <w:ilvl w:val="0"/>
          <w:numId w:val="2"/>
        </w:numPr>
        <w:spacing w:before="100" w:beforeAutospacing="1" w:after="200" w:line="276" w:lineRule="auto"/>
        <w:ind w:leftChars="567" w:left="1576" w:rightChars="567" w:right="1247" w:hanging="329"/>
        <w:jc w:val="both"/>
        <w:textAlignment w:val="baseline"/>
        <w:rPr>
          <w:rFonts w:ascii="Calibri" w:hAnsi="Calibri" w:cs="Calibri"/>
          <w:sz w:val="22"/>
          <w:szCs w:val="22"/>
        </w:rPr>
      </w:pPr>
      <w:r w:rsidRPr="006B72F8">
        <w:rPr>
          <w:rFonts w:ascii="Calibri" w:eastAsia="Arial" w:hAnsi="Calibri" w:cs="Calibri"/>
          <w:sz w:val="22"/>
          <w:szCs w:val="22"/>
        </w:rPr>
        <w:t xml:space="preserve">Que el proyecto, la acción, conducta o situación financiada tenga por objeto el fomento de una actividad de utilidad pública o interés social o de promoción de una finalidad pública. </w:t>
      </w:r>
    </w:p>
    <w:p w14:paraId="00CDB647" w14:textId="77777777" w:rsidR="0051137A" w:rsidRPr="006B72F8" w:rsidRDefault="0051137A"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Además, la misma norma legal precisa en su artículo 2.3.b) que no tendrán carácter de subvenciones los beneficios fiscales. </w:t>
      </w:r>
    </w:p>
    <w:p w14:paraId="3AF3F6BD" w14:textId="1C40A870" w:rsidR="0051137A" w:rsidRPr="006B72F8" w:rsidRDefault="0051137A"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Por ello, se advierte que esta contestación se refiere solamente a la información solicitada sobre los beneficios fiscales aplicados por la entidad Mondelez de Viana y no a las subvenciones o ayudas que haya podido percibir. En ese sentido, el concepto de beneficios fiscales ha de ser </w:t>
      </w:r>
      <w:r w:rsidR="00356761" w:rsidRPr="006B72F8">
        <w:rPr>
          <w:rFonts w:ascii="Calibri" w:eastAsia="Arial" w:hAnsi="Calibri" w:cs="Calibri"/>
          <w:sz w:val="22"/>
          <w:szCs w:val="22"/>
        </w:rPr>
        <w:t xml:space="preserve">interpretado en sentido amplio, esto es, incluyendo exenciones fiscales que pudieran </w:t>
      </w:r>
      <w:r w:rsidR="00C31032" w:rsidRPr="006B72F8">
        <w:rPr>
          <w:rFonts w:ascii="Calibri" w:eastAsia="Arial" w:hAnsi="Calibri" w:cs="Calibri"/>
          <w:sz w:val="22"/>
          <w:szCs w:val="22"/>
        </w:rPr>
        <w:t>haber disfrutado el mencionado contribuyente.</w:t>
      </w:r>
      <w:r w:rsidR="00687206" w:rsidRPr="006B72F8">
        <w:rPr>
          <w:rFonts w:ascii="Calibri" w:eastAsia="Arial" w:hAnsi="Calibri" w:cs="Calibri"/>
          <w:sz w:val="22"/>
          <w:szCs w:val="22"/>
        </w:rPr>
        <w:t xml:space="preserve"> </w:t>
      </w:r>
      <w:r w:rsidR="00315867" w:rsidRPr="006B72F8">
        <w:rPr>
          <w:rFonts w:ascii="Calibri" w:eastAsia="Arial" w:hAnsi="Calibri" w:cs="Calibri"/>
          <w:sz w:val="22"/>
          <w:szCs w:val="22"/>
        </w:rPr>
        <w:t>La</w:t>
      </w:r>
      <w:r w:rsidR="00A10269" w:rsidRPr="006B72F8">
        <w:rPr>
          <w:rFonts w:ascii="Calibri" w:eastAsia="Arial" w:hAnsi="Calibri" w:cs="Calibri"/>
          <w:sz w:val="22"/>
          <w:szCs w:val="22"/>
        </w:rPr>
        <w:t xml:space="preserve"> contestación no afecta ni alude, sin embargo, a la solicitud de información sobre las posibles subvenciones que, en su caso, haya podido percibir dicha entidad de otros departamentos del Gobierno de Navarra. </w:t>
      </w:r>
    </w:p>
    <w:p w14:paraId="0293E709" w14:textId="77C9DD6C"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Como ya se ha contestado en similares solicitudes de información, la cesión de datos por parte de la Administración tributaria de la Comunidad Foral de Navarra está regulada en el artículo 105.1 de la Ley Foral 13/2000, de 14 de diciembre, General Tributaria (en adelante, LFGT), que se inicia con el siguiente contenido: </w:t>
      </w:r>
      <w:r w:rsidR="00315867" w:rsidRPr="006B72F8">
        <w:rPr>
          <w:rFonts w:ascii="Calibri" w:eastAsia="Arial" w:hAnsi="Calibri" w:cs="Calibri"/>
          <w:i/>
          <w:iCs/>
          <w:sz w:val="22"/>
          <w:szCs w:val="22"/>
        </w:rPr>
        <w:t>“</w:t>
      </w:r>
      <w:r w:rsidRPr="006B72F8">
        <w:rPr>
          <w:rFonts w:ascii="Calibri" w:eastAsia="Arial" w:hAnsi="Calibri" w:cs="Calibri"/>
          <w:i/>
          <w:iCs/>
          <w:sz w:val="22"/>
          <w:szCs w:val="22"/>
        </w:rPr>
        <w:t xml:space="preserve">los datos, informes </w:t>
      </w:r>
      <w:r w:rsidRPr="006B72F8">
        <w:rPr>
          <w:rFonts w:ascii="Calibri" w:eastAsia="Arial" w:hAnsi="Calibri" w:cs="Calibri"/>
          <w:sz w:val="22"/>
          <w:szCs w:val="22"/>
        </w:rPr>
        <w:t xml:space="preserve">o </w:t>
      </w:r>
      <w:r w:rsidRPr="006B72F8">
        <w:rPr>
          <w:rFonts w:ascii="Calibri" w:eastAsia="Arial" w:hAnsi="Calibri" w:cs="Calibri"/>
          <w:i/>
          <w:iCs/>
          <w:sz w:val="22"/>
          <w:szCs w:val="22"/>
        </w:rPr>
        <w:t xml:space="preserve">antecedentes obtenidos por la Administración Tributaria en el desempeño de sus funciones tienen carácter reservado y sólo podrán ser utilizados para la efectiva aplicación de los tributos </w:t>
      </w:r>
      <w:r w:rsidRPr="006B72F8">
        <w:rPr>
          <w:rFonts w:ascii="Calibri" w:hAnsi="Calibri" w:cs="Calibri"/>
          <w:sz w:val="22"/>
          <w:szCs w:val="22"/>
        </w:rPr>
        <w:t xml:space="preserve">o </w:t>
      </w:r>
      <w:r w:rsidRPr="006B72F8">
        <w:rPr>
          <w:rFonts w:ascii="Calibri" w:eastAsia="Arial" w:hAnsi="Calibri" w:cs="Calibri"/>
          <w:i/>
          <w:iCs/>
          <w:sz w:val="22"/>
          <w:szCs w:val="22"/>
        </w:rPr>
        <w:t xml:space="preserve">recursos cuya gestión tenga encomendada, sin que puedan ser cedidos </w:t>
      </w:r>
      <w:r w:rsidRPr="006B72F8">
        <w:rPr>
          <w:rFonts w:ascii="Calibri" w:hAnsi="Calibri" w:cs="Calibri"/>
          <w:sz w:val="22"/>
          <w:szCs w:val="22"/>
        </w:rPr>
        <w:t xml:space="preserve">o </w:t>
      </w:r>
      <w:r w:rsidRPr="006B72F8">
        <w:rPr>
          <w:rFonts w:ascii="Calibri" w:eastAsia="Arial" w:hAnsi="Calibri" w:cs="Calibri"/>
          <w:i/>
          <w:iCs/>
          <w:sz w:val="22"/>
          <w:szCs w:val="22"/>
        </w:rPr>
        <w:t>comunicados a terceros</w:t>
      </w:r>
      <w:r w:rsidR="00315867" w:rsidRPr="006B72F8">
        <w:rPr>
          <w:rFonts w:ascii="Calibri" w:eastAsia="Arial" w:hAnsi="Calibri" w:cs="Calibri"/>
          <w:i/>
          <w:iCs/>
          <w:sz w:val="22"/>
          <w:szCs w:val="22"/>
        </w:rPr>
        <w:t>”</w:t>
      </w:r>
      <w:r w:rsidRPr="006B72F8">
        <w:rPr>
          <w:rFonts w:ascii="Calibri" w:eastAsia="Arial" w:hAnsi="Calibri" w:cs="Calibri"/>
          <w:i/>
          <w:iCs/>
          <w:sz w:val="22"/>
          <w:szCs w:val="22"/>
        </w:rPr>
        <w:t xml:space="preserve">. </w:t>
      </w:r>
    </w:p>
    <w:p w14:paraId="136FA651" w14:textId="48494D48"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Por tanto, la norma legal dispone con nitidez que los datos obtenidos por la Administración Tributaria en el desempeño de sus funciones tienen carácter reservado y solamente podrán ser destinados o empleados para finalidades de trascendencia tributaria, esto es, únicamente podrán ser utilizados para la aplicación de los tributos. La razón de este carácter reservado radica en la necesidad de preservar la privacidad de los datos que los contribuyentes remiten y suministran a la Administración tributaria para que esta cumpla con eficacia su función de aplicar la normativa tributaria. Sin embargo, es fácil comprender que esa reserva no puede ser absoluta, ya que en ocasiones puede existir una tensión entre la privacidad de los datos y la transparencia que debe imperar en la gestión pública de los recursos. En función de ello, es necesario buscar un equilibrio entre ambas (privacidad y transparencia) sin que se produzca un menoscabo de los derechos individuales ni tampoco de los colectivos o de la sociedad. </w:t>
      </w:r>
    </w:p>
    <w:p w14:paraId="2F752978" w14:textId="77777777"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A la consecución de ese equilibrio se encamina el propio artículo 105.1 de la referida LFGT, el cual, no obstante la claridad y contundencia inicial de la norma, permite una serie de excepciones o </w:t>
      </w:r>
      <w:r w:rsidRPr="006B72F8">
        <w:rPr>
          <w:rFonts w:ascii="Calibri" w:eastAsia="Arial" w:hAnsi="Calibri" w:cs="Calibri"/>
          <w:sz w:val="22"/>
          <w:szCs w:val="22"/>
        </w:rPr>
        <w:lastRenderedPageBreak/>
        <w:t xml:space="preserve">habilitaciones legales en las que se autoriza esa cesión o comunicación. </w:t>
      </w:r>
    </w:p>
    <w:p w14:paraId="5E1AB512" w14:textId="03D66762" w:rsidR="0051137A"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Entre las excepciones o habilitaciones del mencionado artículo 105.1 no se encuentra supuesto alguno en el que encaje la petición de información solicitada, por lo que no se puede proporcionar información sobre los beneficios fiscales aplicados en los últimos diez años por la empresa M</w:t>
      </w:r>
      <w:r w:rsidR="00922B11" w:rsidRPr="006B72F8">
        <w:rPr>
          <w:rFonts w:ascii="Calibri" w:eastAsia="Arial" w:hAnsi="Calibri" w:cs="Calibri"/>
          <w:sz w:val="22"/>
          <w:szCs w:val="22"/>
        </w:rPr>
        <w:t xml:space="preserve">ondelez </w:t>
      </w:r>
      <w:r w:rsidRPr="006B72F8">
        <w:rPr>
          <w:rFonts w:ascii="Calibri" w:eastAsia="Arial" w:hAnsi="Calibri" w:cs="Calibri"/>
          <w:sz w:val="22"/>
          <w:szCs w:val="22"/>
        </w:rPr>
        <w:t xml:space="preserve">de Viana. </w:t>
      </w:r>
    </w:p>
    <w:p w14:paraId="14CE6F1F" w14:textId="4A2F853E" w:rsidR="005553E6" w:rsidRPr="006B72F8" w:rsidRDefault="00A10269" w:rsidP="006B72F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6B72F8">
        <w:rPr>
          <w:rFonts w:ascii="Calibri" w:eastAsia="Arial" w:hAnsi="Calibri" w:cs="Calibri"/>
          <w:sz w:val="22"/>
          <w:szCs w:val="22"/>
        </w:rPr>
        <w:t>Es cuanto tengo el honor de informar</w:t>
      </w:r>
      <w:r w:rsidR="00633DC2" w:rsidRPr="006B72F8">
        <w:rPr>
          <w:rFonts w:ascii="Calibri" w:eastAsia="Arial" w:hAnsi="Calibri" w:cs="Calibri"/>
          <w:sz w:val="22"/>
          <w:szCs w:val="22"/>
        </w:rPr>
        <w:t>,</w:t>
      </w:r>
      <w:r w:rsidR="005553E6" w:rsidRPr="006B72F8">
        <w:rPr>
          <w:rFonts w:ascii="Calibri" w:eastAsia="Arial" w:hAnsi="Calibri" w:cs="Calibri"/>
          <w:sz w:val="22"/>
          <w:szCs w:val="22"/>
        </w:rPr>
        <w:t xml:space="preserve"> </w:t>
      </w:r>
      <w:r w:rsidRPr="006B72F8">
        <w:rPr>
          <w:rFonts w:ascii="Calibri" w:eastAsia="Arial" w:hAnsi="Calibri" w:cs="Calibri"/>
          <w:sz w:val="22"/>
          <w:szCs w:val="22"/>
        </w:rPr>
        <w:t>en cumplimiento de lo dispuesto en el artículo 215 del Reglamento del Parlamento de Nav</w:t>
      </w:r>
      <w:r w:rsidR="005553E6" w:rsidRPr="006B72F8">
        <w:rPr>
          <w:rFonts w:ascii="Calibri" w:eastAsia="Arial" w:hAnsi="Calibri" w:cs="Calibri"/>
          <w:sz w:val="22"/>
          <w:szCs w:val="22"/>
        </w:rPr>
        <w:t>ar</w:t>
      </w:r>
      <w:r w:rsidRPr="006B72F8">
        <w:rPr>
          <w:rFonts w:ascii="Calibri" w:eastAsia="Arial" w:hAnsi="Calibri" w:cs="Calibri"/>
          <w:sz w:val="22"/>
          <w:szCs w:val="22"/>
        </w:rPr>
        <w:t>ra.</w:t>
      </w:r>
    </w:p>
    <w:p w14:paraId="763217BB" w14:textId="125167D4" w:rsidR="008352E7" w:rsidRPr="006B72F8" w:rsidRDefault="00A10269"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B72F8">
        <w:rPr>
          <w:rFonts w:ascii="Calibri" w:eastAsia="Arial" w:hAnsi="Calibri" w:cs="Calibri"/>
          <w:sz w:val="22"/>
          <w:szCs w:val="22"/>
        </w:rPr>
        <w:t xml:space="preserve">Pamplona, 24 de septiembre de 2024 </w:t>
      </w:r>
    </w:p>
    <w:p w14:paraId="7AC55CDD" w14:textId="780BDAC1" w:rsidR="008352E7" w:rsidRPr="006B72F8" w:rsidRDefault="00A10269" w:rsidP="006B72F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6B72F8">
        <w:rPr>
          <w:rFonts w:ascii="Calibri" w:eastAsia="Arial" w:hAnsi="Calibri" w:cs="Calibri"/>
          <w:sz w:val="22"/>
          <w:szCs w:val="22"/>
        </w:rPr>
        <w:t>El Consejero de Economía y Hacienda</w:t>
      </w:r>
      <w:r w:rsidR="005553E6" w:rsidRPr="006B72F8">
        <w:rPr>
          <w:rFonts w:ascii="Calibri" w:eastAsia="Arial" w:hAnsi="Calibri" w:cs="Calibri"/>
          <w:sz w:val="22"/>
          <w:szCs w:val="22"/>
        </w:rPr>
        <w:t xml:space="preserve">: José Luis </w:t>
      </w:r>
      <w:proofErr w:type="spellStart"/>
      <w:r w:rsidR="005553E6" w:rsidRPr="006B72F8">
        <w:rPr>
          <w:rFonts w:ascii="Calibri" w:eastAsia="Arial" w:hAnsi="Calibri" w:cs="Calibri"/>
          <w:sz w:val="22"/>
          <w:szCs w:val="22"/>
        </w:rPr>
        <w:t>Arasti</w:t>
      </w:r>
      <w:proofErr w:type="spellEnd"/>
      <w:r w:rsidR="005553E6" w:rsidRPr="006B72F8">
        <w:rPr>
          <w:rFonts w:ascii="Calibri" w:eastAsia="Arial" w:hAnsi="Calibri" w:cs="Calibri"/>
          <w:sz w:val="22"/>
          <w:szCs w:val="22"/>
        </w:rPr>
        <w:t xml:space="preserve"> Pérez</w:t>
      </w:r>
    </w:p>
    <w:p w14:paraId="6038D9A4" w14:textId="72C684E0" w:rsidR="00A87CD1" w:rsidRPr="006B72F8" w:rsidRDefault="00474C00" w:rsidP="006B72F8">
      <w:pPr>
        <w:pStyle w:val="Style"/>
        <w:spacing w:before="100" w:beforeAutospacing="1" w:after="200" w:line="276" w:lineRule="auto"/>
        <w:ind w:leftChars="567" w:left="1247" w:rightChars="567" w:right="1247"/>
        <w:jc w:val="both"/>
        <w:textAlignment w:val="baseline"/>
        <w:rPr>
          <w:rFonts w:ascii="Calibri" w:eastAsia="Arial" w:hAnsi="Calibri" w:cs="Calibri"/>
          <w:b/>
          <w:bCs/>
          <w:sz w:val="22"/>
          <w:szCs w:val="22"/>
        </w:rPr>
      </w:pPr>
      <w:r w:rsidRPr="006B72F8">
        <w:rPr>
          <w:rFonts w:ascii="Calibri" w:hAnsi="Calibri" w:cs="Calibri"/>
          <w:b/>
          <w:bCs/>
          <w:sz w:val="22"/>
          <w:szCs w:val="22"/>
          <w:lang w:val="es-ES"/>
        </w:rPr>
        <w:t xml:space="preserve">Contestación del </w:t>
      </w:r>
      <w:r w:rsidRPr="00A87CD1">
        <w:rPr>
          <w:rFonts w:ascii="Calibri" w:hAnsi="Calibri" w:cs="Calibri"/>
          <w:b/>
          <w:bCs/>
          <w:sz w:val="22"/>
          <w:szCs w:val="22"/>
          <w:lang w:val="es-ES"/>
        </w:rPr>
        <w:t>Consejero de Industria y de Transición Ecológica y Digital Empresarial</w:t>
      </w:r>
    </w:p>
    <w:p w14:paraId="554815F9" w14:textId="77777777" w:rsidR="00A87CD1" w:rsidRPr="00A87CD1" w:rsidRDefault="00A87CD1" w:rsidP="006B72F8">
      <w:pPr>
        <w:pStyle w:val="Style"/>
        <w:ind w:leftChars="567" w:left="1247" w:rightChars="567" w:right="1247"/>
        <w:jc w:val="both"/>
        <w:rPr>
          <w:rFonts w:ascii="Calibri" w:hAnsi="Calibri" w:cs="Calibri"/>
          <w:sz w:val="22"/>
          <w:szCs w:val="22"/>
          <w:lang w:val="es-ES"/>
        </w:rPr>
      </w:pPr>
      <w:r w:rsidRPr="00A87CD1">
        <w:rPr>
          <w:rFonts w:ascii="Calibri" w:hAnsi="Calibri" w:cs="Calibri"/>
          <w:sz w:val="22"/>
          <w:szCs w:val="22"/>
          <w:lang w:val="es-ES"/>
        </w:rPr>
        <w:t xml:space="preserve">El Consejero de Industria y de Transición Ecológica y Digital Empresarial del Gobierno de Navarra, en relación con la pregunta para su contestación por escrito formulada por el/la Parlamentaria Foral Ilma. Sra. D.ª Laura </w:t>
      </w:r>
      <w:proofErr w:type="spellStart"/>
      <w:r w:rsidRPr="00A87CD1">
        <w:rPr>
          <w:rFonts w:ascii="Calibri" w:hAnsi="Calibri" w:cs="Calibri"/>
          <w:sz w:val="22"/>
          <w:szCs w:val="22"/>
          <w:lang w:val="es-ES"/>
        </w:rPr>
        <w:t>Aznal</w:t>
      </w:r>
      <w:proofErr w:type="spellEnd"/>
      <w:r w:rsidRPr="00A87CD1">
        <w:rPr>
          <w:rFonts w:ascii="Calibri" w:hAnsi="Calibri" w:cs="Calibri"/>
          <w:sz w:val="22"/>
          <w:szCs w:val="22"/>
          <w:lang w:val="es-ES"/>
        </w:rPr>
        <w:t xml:space="preserve"> Sagasti, adscrita al Grupo Parlamentario EH Bildu Nafarroa, sobre ayudas económicas y beneficios fiscales a la empresa Mondelez de Viana (l1-24/PES-00341 ), informa lo siguiente: </w:t>
      </w:r>
    </w:p>
    <w:p w14:paraId="497FC65A" w14:textId="77777777" w:rsidR="00A87CD1" w:rsidRPr="00A87CD1" w:rsidRDefault="00A87CD1" w:rsidP="006B72F8">
      <w:pPr>
        <w:pStyle w:val="Style"/>
        <w:ind w:leftChars="567" w:left="1247" w:rightChars="567" w:right="1247"/>
        <w:jc w:val="both"/>
        <w:rPr>
          <w:rFonts w:ascii="Calibri" w:hAnsi="Calibri" w:cs="Calibri"/>
          <w:sz w:val="22"/>
          <w:szCs w:val="22"/>
          <w:lang w:val="es-ES"/>
        </w:rPr>
      </w:pPr>
      <w:r w:rsidRPr="00A87CD1">
        <w:rPr>
          <w:rFonts w:ascii="Calibri" w:hAnsi="Calibri" w:cs="Calibri"/>
          <w:sz w:val="22"/>
          <w:szCs w:val="22"/>
          <w:lang w:val="es-ES"/>
        </w:rPr>
        <w:t xml:space="preserve">Las ayudas percibidas por la empresa Mondelez, con CIF B-31018104, desde el Departamento de Industria y de Transición Ecológica y Digital Empresarial en los </w:t>
      </w:r>
      <w:proofErr w:type="gramStart"/>
      <w:r w:rsidRPr="00A87CD1">
        <w:rPr>
          <w:rFonts w:ascii="Calibri" w:hAnsi="Calibri" w:cs="Calibri"/>
          <w:sz w:val="22"/>
          <w:szCs w:val="22"/>
          <w:lang w:val="es-ES"/>
        </w:rPr>
        <w:t>10  últimos</w:t>
      </w:r>
      <w:proofErr w:type="gramEnd"/>
      <w:r w:rsidRPr="00A87CD1">
        <w:rPr>
          <w:rFonts w:ascii="Calibri" w:hAnsi="Calibri" w:cs="Calibri"/>
          <w:sz w:val="22"/>
          <w:szCs w:val="22"/>
          <w:lang w:val="es-ES"/>
        </w:rPr>
        <w:t xml:space="preserve"> años son las siguientes: </w:t>
      </w:r>
    </w:p>
    <w:p w14:paraId="45E93CD1" w14:textId="77777777" w:rsidR="00A87CD1" w:rsidRPr="00A87CD1" w:rsidRDefault="00A87CD1" w:rsidP="006B72F8">
      <w:pPr>
        <w:pStyle w:val="Style"/>
        <w:ind w:leftChars="567" w:left="1247" w:rightChars="567" w:right="1247"/>
        <w:jc w:val="both"/>
        <w:textAlignment w:val="baseline"/>
        <w:rPr>
          <w:rFonts w:ascii="Calibri" w:hAnsi="Calibri" w:cs="Calibri"/>
          <w:sz w:val="22"/>
          <w:szCs w:val="22"/>
          <w:lang w:val="es-ES"/>
        </w:rPr>
      </w:pPr>
    </w:p>
    <w:tbl>
      <w:tblPr>
        <w:tblW w:w="9082" w:type="dxa"/>
        <w:tblCellMar>
          <w:left w:w="0" w:type="dxa"/>
          <w:right w:w="0" w:type="dxa"/>
        </w:tblCellMar>
        <w:tblLook w:val="0000" w:firstRow="0" w:lastRow="0" w:firstColumn="0" w:lastColumn="0" w:noHBand="0" w:noVBand="0"/>
      </w:tblPr>
      <w:tblGrid>
        <w:gridCol w:w="1210"/>
        <w:gridCol w:w="4045"/>
        <w:gridCol w:w="1701"/>
        <w:gridCol w:w="2126"/>
      </w:tblGrid>
      <w:tr w:rsidR="006A760B" w14:paraId="4094AAF6" w14:textId="77777777" w:rsidTr="00097E5C">
        <w:trPr>
          <w:trHeight w:hRule="exact" w:val="312"/>
        </w:trPr>
        <w:tc>
          <w:tcPr>
            <w:tcW w:w="1210" w:type="dxa"/>
            <w:tcBorders>
              <w:top w:val="single" w:sz="8" w:space="0" w:color="auto"/>
              <w:left w:val="single" w:sz="8" w:space="0" w:color="auto"/>
              <w:bottom w:val="single" w:sz="8" w:space="0" w:color="auto"/>
              <w:right w:val="single" w:sz="8" w:space="0" w:color="auto"/>
            </w:tcBorders>
            <w:vAlign w:val="center"/>
          </w:tcPr>
          <w:p w14:paraId="7A6763C5" w14:textId="77777777" w:rsidR="006A760B" w:rsidRPr="00E72F32" w:rsidRDefault="006A760B" w:rsidP="00097E5C">
            <w:pPr>
              <w:pStyle w:val="Style"/>
              <w:spacing w:before="100" w:beforeAutospacing="1" w:after="200" w:line="276" w:lineRule="auto"/>
              <w:ind w:left="5"/>
              <w:jc w:val="center"/>
              <w:textAlignment w:val="baseline"/>
              <w:rPr>
                <w:b/>
                <w:bCs/>
              </w:rPr>
            </w:pPr>
            <w:bookmarkStart w:id="0" w:name="_Hlk178580911"/>
            <w:r w:rsidRPr="00E72F32">
              <w:rPr>
                <w:b/>
                <w:bCs/>
                <w:sz w:val="19"/>
                <w:szCs w:val="19"/>
              </w:rPr>
              <w:t xml:space="preserve">Año </w:t>
            </w:r>
          </w:p>
        </w:tc>
        <w:tc>
          <w:tcPr>
            <w:tcW w:w="4045" w:type="dxa"/>
            <w:tcBorders>
              <w:top w:val="single" w:sz="8" w:space="0" w:color="auto"/>
              <w:left w:val="single" w:sz="8" w:space="0" w:color="auto"/>
              <w:bottom w:val="single" w:sz="8" w:space="0" w:color="auto"/>
              <w:right w:val="single" w:sz="8" w:space="0" w:color="auto"/>
            </w:tcBorders>
            <w:vAlign w:val="center"/>
          </w:tcPr>
          <w:p w14:paraId="6B6B7606" w14:textId="77777777" w:rsidR="006A760B" w:rsidRPr="00E72F32" w:rsidRDefault="006A760B" w:rsidP="00097E5C">
            <w:pPr>
              <w:pStyle w:val="Style"/>
              <w:spacing w:before="100" w:beforeAutospacing="1" w:after="200" w:line="276" w:lineRule="auto"/>
              <w:ind w:left="5"/>
              <w:jc w:val="center"/>
              <w:textAlignment w:val="baseline"/>
              <w:rPr>
                <w:b/>
                <w:bCs/>
              </w:rPr>
            </w:pPr>
            <w:r w:rsidRPr="00E72F32">
              <w:rPr>
                <w:b/>
                <w:bCs/>
                <w:sz w:val="19"/>
                <w:szCs w:val="19"/>
              </w:rPr>
              <w:t xml:space="preserve">Texto </w:t>
            </w:r>
          </w:p>
        </w:tc>
        <w:tc>
          <w:tcPr>
            <w:tcW w:w="1701" w:type="dxa"/>
            <w:tcBorders>
              <w:top w:val="single" w:sz="8" w:space="0" w:color="auto"/>
              <w:left w:val="single" w:sz="8" w:space="0" w:color="auto"/>
              <w:bottom w:val="single" w:sz="8" w:space="0" w:color="auto"/>
              <w:right w:val="single" w:sz="8" w:space="0" w:color="auto"/>
            </w:tcBorders>
            <w:vAlign w:val="center"/>
          </w:tcPr>
          <w:p w14:paraId="149BAEF5" w14:textId="77777777" w:rsidR="006A760B" w:rsidRPr="00E72F32" w:rsidRDefault="006A760B" w:rsidP="00097E5C">
            <w:pPr>
              <w:pStyle w:val="Style"/>
              <w:spacing w:before="100" w:beforeAutospacing="1" w:after="200" w:line="276" w:lineRule="auto"/>
              <w:ind w:left="326"/>
              <w:textAlignment w:val="baseline"/>
              <w:rPr>
                <w:b/>
                <w:bCs/>
              </w:rPr>
            </w:pPr>
            <w:r w:rsidRPr="00E72F32">
              <w:rPr>
                <w:b/>
                <w:bCs/>
                <w:sz w:val="19"/>
                <w:szCs w:val="19"/>
              </w:rPr>
              <w:t xml:space="preserve">Importe </w:t>
            </w:r>
          </w:p>
        </w:tc>
        <w:tc>
          <w:tcPr>
            <w:tcW w:w="2126" w:type="dxa"/>
            <w:tcBorders>
              <w:top w:val="single" w:sz="8" w:space="0" w:color="auto"/>
              <w:left w:val="single" w:sz="8" w:space="0" w:color="auto"/>
              <w:bottom w:val="single" w:sz="8" w:space="0" w:color="auto"/>
              <w:right w:val="single" w:sz="8" w:space="0" w:color="auto"/>
            </w:tcBorders>
            <w:vAlign w:val="center"/>
          </w:tcPr>
          <w:p w14:paraId="33939A56" w14:textId="77777777" w:rsidR="006A760B" w:rsidRPr="00E72F32" w:rsidRDefault="006A760B" w:rsidP="00097E5C">
            <w:pPr>
              <w:pStyle w:val="Style"/>
              <w:spacing w:before="100" w:beforeAutospacing="1" w:after="200" w:line="276" w:lineRule="auto"/>
              <w:ind w:left="24"/>
              <w:jc w:val="center"/>
              <w:textAlignment w:val="baseline"/>
              <w:rPr>
                <w:b/>
                <w:bCs/>
              </w:rPr>
            </w:pPr>
            <w:r w:rsidRPr="00E72F32">
              <w:rPr>
                <w:b/>
                <w:bCs/>
                <w:sz w:val="19"/>
                <w:szCs w:val="19"/>
              </w:rPr>
              <w:t xml:space="preserve">Fecha </w:t>
            </w:r>
          </w:p>
        </w:tc>
      </w:tr>
      <w:tr w:rsidR="006A760B" w14:paraId="1EE31798" w14:textId="77777777" w:rsidTr="00097E5C">
        <w:trPr>
          <w:trHeight w:hRule="exact" w:val="326"/>
        </w:trPr>
        <w:tc>
          <w:tcPr>
            <w:tcW w:w="1210" w:type="dxa"/>
            <w:tcBorders>
              <w:top w:val="single" w:sz="8" w:space="0" w:color="auto"/>
              <w:left w:val="single" w:sz="8" w:space="0" w:color="auto"/>
              <w:bottom w:val="single" w:sz="8" w:space="0" w:color="auto"/>
              <w:right w:val="single" w:sz="8" w:space="0" w:color="auto"/>
            </w:tcBorders>
            <w:vAlign w:val="center"/>
          </w:tcPr>
          <w:p w14:paraId="226F716A" w14:textId="77777777" w:rsidR="006A760B" w:rsidRDefault="006A760B" w:rsidP="00097E5C">
            <w:pPr>
              <w:pStyle w:val="Style"/>
              <w:spacing w:before="100" w:beforeAutospacing="1" w:after="200" w:line="276" w:lineRule="auto"/>
              <w:ind w:left="5"/>
              <w:jc w:val="center"/>
              <w:textAlignment w:val="baseline"/>
            </w:pPr>
            <w:r>
              <w:rPr>
                <w:sz w:val="19"/>
                <w:szCs w:val="19"/>
              </w:rPr>
              <w:t>2023</w:t>
            </w:r>
          </w:p>
        </w:tc>
        <w:tc>
          <w:tcPr>
            <w:tcW w:w="4045" w:type="dxa"/>
            <w:tcBorders>
              <w:top w:val="single" w:sz="8" w:space="0" w:color="auto"/>
              <w:left w:val="single" w:sz="8" w:space="0" w:color="auto"/>
              <w:bottom w:val="single" w:sz="8" w:space="0" w:color="auto"/>
              <w:right w:val="single" w:sz="8" w:space="0" w:color="auto"/>
            </w:tcBorders>
            <w:vAlign w:val="center"/>
          </w:tcPr>
          <w:p w14:paraId="285EC561" w14:textId="77777777" w:rsidR="006A760B" w:rsidRDefault="006A760B" w:rsidP="00097E5C">
            <w:pPr>
              <w:pStyle w:val="Style"/>
              <w:spacing w:before="100" w:beforeAutospacing="1" w:after="200" w:line="276" w:lineRule="auto"/>
              <w:ind w:left="86"/>
              <w:jc w:val="center"/>
              <w:textAlignment w:val="baseline"/>
            </w:pPr>
            <w:r>
              <w:rPr>
                <w:sz w:val="19"/>
                <w:szCs w:val="19"/>
              </w:rPr>
              <w:t>Sobrecoste energía</w:t>
            </w:r>
          </w:p>
        </w:tc>
        <w:tc>
          <w:tcPr>
            <w:tcW w:w="1701" w:type="dxa"/>
            <w:tcBorders>
              <w:top w:val="single" w:sz="8" w:space="0" w:color="auto"/>
              <w:left w:val="single" w:sz="8" w:space="0" w:color="auto"/>
              <w:bottom w:val="single" w:sz="8" w:space="0" w:color="auto"/>
              <w:right w:val="single" w:sz="8" w:space="0" w:color="auto"/>
            </w:tcBorders>
            <w:vAlign w:val="center"/>
          </w:tcPr>
          <w:p w14:paraId="56C6D3DB" w14:textId="77777777" w:rsidR="006A760B" w:rsidRDefault="006A760B" w:rsidP="00097E5C">
            <w:pPr>
              <w:pStyle w:val="Style"/>
              <w:spacing w:before="100" w:beforeAutospacing="1" w:after="200" w:line="276" w:lineRule="auto"/>
              <w:ind w:left="326"/>
              <w:jc w:val="center"/>
              <w:textAlignment w:val="baseline"/>
            </w:pPr>
            <w:r>
              <w:rPr>
                <w:sz w:val="19"/>
                <w:szCs w:val="19"/>
              </w:rPr>
              <w:t>108.594,93</w:t>
            </w:r>
          </w:p>
        </w:tc>
        <w:tc>
          <w:tcPr>
            <w:tcW w:w="2126" w:type="dxa"/>
            <w:tcBorders>
              <w:top w:val="single" w:sz="8" w:space="0" w:color="auto"/>
              <w:left w:val="single" w:sz="8" w:space="0" w:color="auto"/>
              <w:bottom w:val="single" w:sz="8" w:space="0" w:color="auto"/>
              <w:right w:val="single" w:sz="8" w:space="0" w:color="auto"/>
            </w:tcBorders>
            <w:vAlign w:val="center"/>
          </w:tcPr>
          <w:p w14:paraId="24BA6C8D" w14:textId="77777777" w:rsidR="006A760B" w:rsidRDefault="006A760B" w:rsidP="00097E5C">
            <w:pPr>
              <w:pStyle w:val="Style"/>
              <w:spacing w:before="100" w:beforeAutospacing="1" w:after="200" w:line="276" w:lineRule="auto"/>
              <w:ind w:left="86"/>
              <w:jc w:val="center"/>
              <w:textAlignment w:val="baseline"/>
            </w:pPr>
            <w:r>
              <w:rPr>
                <w:sz w:val="19"/>
                <w:szCs w:val="19"/>
              </w:rPr>
              <w:t>04.01.2023</w:t>
            </w:r>
          </w:p>
        </w:tc>
      </w:tr>
      <w:bookmarkEnd w:id="0"/>
    </w:tbl>
    <w:p w14:paraId="361BDE79" w14:textId="77777777" w:rsidR="00A87CD1" w:rsidRDefault="00A87CD1" w:rsidP="006B72F8">
      <w:pPr>
        <w:pStyle w:val="Style"/>
        <w:ind w:leftChars="567" w:left="1247" w:rightChars="567" w:right="1247"/>
        <w:jc w:val="both"/>
        <w:textAlignment w:val="baseline"/>
        <w:rPr>
          <w:rFonts w:ascii="Calibri" w:hAnsi="Calibri" w:cs="Calibri"/>
          <w:sz w:val="22"/>
          <w:szCs w:val="22"/>
          <w:lang w:val="es-ES"/>
        </w:rPr>
      </w:pPr>
    </w:p>
    <w:p w14:paraId="58A9B9B2" w14:textId="77777777" w:rsidR="006A760B" w:rsidRPr="00A87CD1" w:rsidRDefault="006A760B" w:rsidP="006B72F8">
      <w:pPr>
        <w:pStyle w:val="Style"/>
        <w:ind w:leftChars="567" w:left="1247" w:rightChars="567" w:right="1247"/>
        <w:jc w:val="both"/>
        <w:textAlignment w:val="baseline"/>
        <w:rPr>
          <w:rFonts w:ascii="Calibri" w:hAnsi="Calibri" w:cs="Calibri"/>
          <w:sz w:val="22"/>
          <w:szCs w:val="22"/>
          <w:lang w:val="es-ES"/>
        </w:rPr>
      </w:pPr>
    </w:p>
    <w:p w14:paraId="6632A35E" w14:textId="77777777" w:rsidR="00A87CD1" w:rsidRPr="00A87CD1" w:rsidRDefault="00A87CD1" w:rsidP="006B72F8">
      <w:pPr>
        <w:pStyle w:val="Style"/>
        <w:ind w:leftChars="567" w:left="1247" w:rightChars="567" w:right="1247"/>
        <w:jc w:val="both"/>
        <w:rPr>
          <w:rFonts w:ascii="Calibri" w:hAnsi="Calibri" w:cs="Calibri"/>
          <w:sz w:val="22"/>
          <w:szCs w:val="22"/>
          <w:lang w:val="es-ES"/>
        </w:rPr>
      </w:pPr>
      <w:r w:rsidRPr="00A87CD1">
        <w:rPr>
          <w:rFonts w:ascii="Calibri" w:hAnsi="Calibri" w:cs="Calibri"/>
          <w:sz w:val="22"/>
          <w:szCs w:val="22"/>
          <w:lang w:val="es-ES"/>
        </w:rPr>
        <w:t xml:space="preserve">Es cuanto informo en cumplimiento de lo dispuesto en el artículo 215 del Reglamento del Parlamento de Navarra. </w:t>
      </w:r>
    </w:p>
    <w:p w14:paraId="3FB23E11" w14:textId="77777777" w:rsidR="00A87CD1" w:rsidRPr="00A87CD1" w:rsidRDefault="00A87CD1" w:rsidP="006B72F8">
      <w:pPr>
        <w:pStyle w:val="Style"/>
        <w:ind w:leftChars="567" w:left="1247" w:rightChars="567" w:right="1247"/>
        <w:jc w:val="both"/>
        <w:rPr>
          <w:rFonts w:ascii="Calibri" w:hAnsi="Calibri" w:cs="Calibri"/>
          <w:sz w:val="22"/>
          <w:szCs w:val="22"/>
          <w:lang w:val="es-ES"/>
        </w:rPr>
      </w:pPr>
      <w:r w:rsidRPr="00A87CD1">
        <w:rPr>
          <w:rFonts w:ascii="Calibri" w:hAnsi="Calibri" w:cs="Calibri"/>
          <w:sz w:val="22"/>
          <w:szCs w:val="22"/>
          <w:lang w:val="es-ES"/>
        </w:rPr>
        <w:t>Pamplona-</w:t>
      </w:r>
      <w:proofErr w:type="spellStart"/>
      <w:r w:rsidRPr="00A87CD1">
        <w:rPr>
          <w:rFonts w:ascii="Calibri" w:hAnsi="Calibri" w:cs="Calibri"/>
          <w:sz w:val="22"/>
          <w:szCs w:val="22"/>
          <w:lang w:val="es-ES"/>
        </w:rPr>
        <w:t>Iruñea</w:t>
      </w:r>
      <w:proofErr w:type="spellEnd"/>
      <w:r w:rsidRPr="00A87CD1">
        <w:rPr>
          <w:rFonts w:ascii="Calibri" w:hAnsi="Calibri" w:cs="Calibri"/>
          <w:sz w:val="22"/>
          <w:szCs w:val="22"/>
          <w:lang w:val="es-ES"/>
        </w:rPr>
        <w:t xml:space="preserve">, 18 de septiembre de 2024 </w:t>
      </w:r>
    </w:p>
    <w:p w14:paraId="3403E1C0" w14:textId="77777777" w:rsidR="00A87CD1" w:rsidRPr="00A87CD1" w:rsidRDefault="00A87CD1" w:rsidP="006B72F8">
      <w:pPr>
        <w:pStyle w:val="Style"/>
        <w:ind w:leftChars="567" w:left="1247" w:rightChars="567" w:right="1247"/>
        <w:jc w:val="both"/>
        <w:rPr>
          <w:rFonts w:ascii="Calibri" w:hAnsi="Calibri" w:cs="Calibri"/>
          <w:sz w:val="22"/>
          <w:szCs w:val="22"/>
          <w:lang w:val="es-ES"/>
        </w:rPr>
      </w:pPr>
      <w:r w:rsidRPr="00A87CD1">
        <w:rPr>
          <w:rFonts w:ascii="Calibri" w:hAnsi="Calibri" w:cs="Calibri"/>
          <w:sz w:val="22"/>
          <w:szCs w:val="22"/>
          <w:lang w:val="es-ES"/>
        </w:rPr>
        <w:t xml:space="preserve">El Consejero de Industria y de Transición Ecológica y Digital Empresarial: Mikel Irujo Amezaga </w:t>
      </w:r>
    </w:p>
    <w:p w14:paraId="74E57012" w14:textId="77777777" w:rsidR="00A87CD1" w:rsidRPr="006B72F8" w:rsidRDefault="00A87CD1" w:rsidP="006B72F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p>
    <w:sectPr w:rsidR="00A87CD1" w:rsidRPr="006B72F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541CD"/>
    <w:multiLevelType w:val="singleLevel"/>
    <w:tmpl w:val="4686F064"/>
    <w:lvl w:ilvl="0">
      <w:start w:val="1"/>
      <w:numFmt w:val="lowerLetter"/>
      <w:lvlText w:val="%1)"/>
      <w:legacy w:legacy="1" w:legacySpace="0" w:legacyIndent="0"/>
      <w:lvlJc w:val="left"/>
      <w:rPr>
        <w:rFonts w:ascii="Arial" w:hAnsi="Arial" w:cs="Arial" w:hint="default"/>
        <w:sz w:val="20"/>
        <w:szCs w:val="20"/>
      </w:rPr>
    </w:lvl>
  </w:abstractNum>
  <w:abstractNum w:abstractNumId="1" w15:restartNumberingAfterBreak="0">
    <w:nsid w:val="67B558B5"/>
    <w:multiLevelType w:val="singleLevel"/>
    <w:tmpl w:val="DABA96EE"/>
    <w:lvl w:ilvl="0">
      <w:start w:val="3"/>
      <w:numFmt w:val="lowerLetter"/>
      <w:lvlText w:val="%1)"/>
      <w:legacy w:legacy="1" w:legacySpace="0" w:legacyIndent="0"/>
      <w:lvlJc w:val="left"/>
      <w:rPr>
        <w:rFonts w:ascii="Arial" w:hAnsi="Arial" w:cs="Arial" w:hint="default"/>
        <w:sz w:val="20"/>
        <w:szCs w:val="20"/>
      </w:rPr>
    </w:lvl>
  </w:abstractNum>
  <w:abstractNum w:abstractNumId="2" w15:restartNumberingAfterBreak="0">
    <w:nsid w:val="7E45697E"/>
    <w:multiLevelType w:val="singleLevel"/>
    <w:tmpl w:val="AEDA93A0"/>
    <w:lvl w:ilvl="0">
      <w:start w:val="2"/>
      <w:numFmt w:val="lowerLetter"/>
      <w:lvlText w:val="%1)"/>
      <w:legacy w:legacy="1" w:legacySpace="0" w:legacyIndent="0"/>
      <w:lvlJc w:val="left"/>
      <w:rPr>
        <w:rFonts w:ascii="Arial" w:hAnsi="Arial" w:cs="Arial" w:hint="default"/>
        <w:sz w:val="20"/>
        <w:szCs w:val="20"/>
      </w:rPr>
    </w:lvl>
  </w:abstractNum>
  <w:num w:numId="1" w16cid:durableId="744107243">
    <w:abstractNumId w:val="0"/>
  </w:num>
  <w:num w:numId="2" w16cid:durableId="1562331948">
    <w:abstractNumId w:val="2"/>
  </w:num>
  <w:num w:numId="3" w16cid:durableId="169530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52E7"/>
    <w:rsid w:val="0005729C"/>
    <w:rsid w:val="00071DB7"/>
    <w:rsid w:val="00296FB3"/>
    <w:rsid w:val="002D30F1"/>
    <w:rsid w:val="00315867"/>
    <w:rsid w:val="00356761"/>
    <w:rsid w:val="00474C00"/>
    <w:rsid w:val="0051137A"/>
    <w:rsid w:val="005553E6"/>
    <w:rsid w:val="005E6547"/>
    <w:rsid w:val="00633DC2"/>
    <w:rsid w:val="00687206"/>
    <w:rsid w:val="006A760B"/>
    <w:rsid w:val="006B72F8"/>
    <w:rsid w:val="00812BB0"/>
    <w:rsid w:val="008352E7"/>
    <w:rsid w:val="00922B11"/>
    <w:rsid w:val="00A10269"/>
    <w:rsid w:val="00A87CD1"/>
    <w:rsid w:val="00AD7553"/>
    <w:rsid w:val="00AE3C89"/>
    <w:rsid w:val="00C31032"/>
    <w:rsid w:val="00D440CE"/>
    <w:rsid w:val="00EB1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10EE"/>
  <w15:docId w15:val="{CCB41353-813C-46D2-B7C7-2B8131CE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38242">
      <w:bodyDiv w:val="1"/>
      <w:marLeft w:val="0"/>
      <w:marRight w:val="0"/>
      <w:marTop w:val="0"/>
      <w:marBottom w:val="0"/>
      <w:divBdr>
        <w:top w:val="none" w:sz="0" w:space="0" w:color="auto"/>
        <w:left w:val="none" w:sz="0" w:space="0" w:color="auto"/>
        <w:bottom w:val="none" w:sz="0" w:space="0" w:color="auto"/>
        <w:right w:val="none" w:sz="0" w:space="0" w:color="auto"/>
      </w:divBdr>
    </w:div>
    <w:div w:id="19791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923</Words>
  <Characters>5081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24PES-341. Economía</vt:lpstr>
    </vt:vector>
  </TitlesOfParts>
  <Company>HP Inc.</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24PES-341. Economía</dc:title>
  <dc:creator>informatica</dc:creator>
  <cp:keywords>CreatedByIRIS_Readiris_17.0</cp:keywords>
  <cp:lastModifiedBy>Mauleón, Fernando</cp:lastModifiedBy>
  <cp:revision>21</cp:revision>
  <dcterms:created xsi:type="dcterms:W3CDTF">2024-09-30T07:03:00Z</dcterms:created>
  <dcterms:modified xsi:type="dcterms:W3CDTF">2024-11-06T12:14:00Z</dcterms:modified>
</cp:coreProperties>
</file>