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F5BC6" w14:textId="5F402DBF" w:rsidR="00557E7E" w:rsidRDefault="00557E7E" w:rsidP="00557E7E">
      <w:pPr>
        <w:pStyle w:val="OFICIO-12"/>
      </w:pPr>
      <w:r>
        <w:t>Nafarroako Parlamentuko Mahaiak, 2025eko urtarrilaren 20an egindako bilkuran, Eledunen Batzarrarekin bat, erabaki hau hartu zuen, besteak beste:</w:t>
      </w:r>
    </w:p>
    <w:p w14:paraId="6648EE3A" w14:textId="60BD576D" w:rsidR="00BF6467" w:rsidRPr="00BF6467" w:rsidRDefault="00BF6467" w:rsidP="00BF6467">
      <w:pPr>
        <w:pStyle w:val="OFICIO-12"/>
      </w:pPr>
      <w:r>
        <w:t>Urriaren 16ko 90/2024 Foru Dekretuak Nafar Komunitateen Kontseiluaren osaera, antolaketa eta funtzionamendua arautzen ditu, eta komunitate horiek aitortzeko eta ofizialki erregistratzeko prozedura ezartzen du. 7. artikuluaren e) letrak ezartzen du Kontseiluko kideak izanen direla, besteak beste, Nafarroako Parlamentuak proposatutako bi pertsona, Nafarroako Parlamentuko Erregelamenduan xedatutakoarekin bat etorriz.</w:t>
      </w:r>
    </w:p>
    <w:p w14:paraId="16E822DB" w14:textId="77777777" w:rsidR="00BF6467" w:rsidRPr="00BF6467" w:rsidRDefault="00BF6467" w:rsidP="00BF6467">
      <w:pPr>
        <w:pStyle w:val="OFICIO-12"/>
      </w:pPr>
      <w:r>
        <w:t>Bestalde, 8. artikuluak ezartzen du kanpoko nafar herritarrekiko harremanen arloan eskumena duen departamentuko titularrak izendatuko dituela Nafar Komunitateen Kontseiluko kideak foru-agindu bidez. Lau urterako izendatuko ditu, eta iraupen bereko aldi baterako berritzen ahalko dira, hargatik eragotzi gabe hurrengo artikuluan kargua uzteko ezarritako edozein arrazoi gertatzea, edo kideak izendatzeko eskatzen diren baldintzak, 7.1 artikuluko a) eta b) apartatuetan jasotakoak, galtzea.</w:t>
      </w:r>
    </w:p>
    <w:p w14:paraId="628DE1BB" w14:textId="77777777" w:rsidR="00BF6467" w:rsidRPr="00BF6467" w:rsidRDefault="00BF6467" w:rsidP="00BF6467">
      <w:pPr>
        <w:pStyle w:val="OFICIO-12"/>
      </w:pPr>
      <w:r>
        <w:t>Halaber, batzordekideen izendapena proposatzeko ahalmena duten entitateek ordezkoak ere proposatu beharko dituzte.</w:t>
      </w:r>
    </w:p>
    <w:p w14:paraId="7819A948" w14:textId="77777777" w:rsidR="00BF6467" w:rsidRPr="00BF6467" w:rsidRDefault="00BF6467" w:rsidP="00BF6467">
      <w:pPr>
        <w:pStyle w:val="OFICIO-12"/>
      </w:pPr>
      <w:r>
        <w:t>Bigarren lehendakariorde eta Memoria eta Bizikidetzako, Kanpo Ekintzako eta Euskarako kontseilariak, urtarrilaren 15eko idazkiaren bidez, eskatzen du Nafarroako Parlamentuak bi ordezkarien eta horien ordezkoen izendapen-proposamena egin eta hura otsailaren 7a baino lehen jakinaraz dezan.</w:t>
      </w:r>
    </w:p>
    <w:p w14:paraId="0B803402" w14:textId="77777777" w:rsidR="00BF6467" w:rsidRPr="00BF6467" w:rsidRDefault="00BF6467" w:rsidP="00BF6467">
      <w:pPr>
        <w:pStyle w:val="OFICIO-12"/>
      </w:pPr>
      <w:r>
        <w:t>Nafarroako Parlamentuko Erregelamenduak ez du aurreikusten hautaketa horretarako arau berariazkorik. Hori dela-eta, Erregelamenduaren 42.1.9 artikuluarekin bat, Mahaiak eta Eledunen Batzarrak aipatu izendapena egiteko arauak onetsi behar dituzte.</w:t>
      </w:r>
    </w:p>
    <w:p w14:paraId="57252D33" w14:textId="71D7EDDF" w:rsidR="00BF6467" w:rsidRDefault="00BF6467" w:rsidP="00BF6467">
      <w:pPr>
        <w:pStyle w:val="OFICIO-12"/>
      </w:pPr>
      <w:r>
        <w:t>Horretarako, Legebiltzarreko legelari nagusiak arau-proposamen bat prestatu du. Hori horrela, Nafarroako Parlamentuko Erregelamenduaren 42.1.9 artikuluan ezarritakoarekin bat, Eledunen Batzarrarekin bat etorriz, ERABAKITZEN DA:</w:t>
      </w:r>
    </w:p>
    <w:p w14:paraId="79227053" w14:textId="141F8571" w:rsidR="00BF6467" w:rsidRPr="009A4C83" w:rsidRDefault="00BF6467" w:rsidP="00BF6467">
      <w:pPr>
        <w:pStyle w:val="Textoindependiente"/>
        <w:spacing w:before="121" w:line="239" w:lineRule="auto"/>
        <w:ind w:left="0" w:right="109"/>
        <w:jc w:val="both"/>
      </w:pPr>
      <w:r>
        <w:rPr>
          <w:b/>
          <w:bCs/>
          <w:u w:val="single"/>
        </w:rPr>
        <w:t>Lehena</w:t>
      </w:r>
      <w:r>
        <w:rPr>
          <w:b/>
          <w:bCs/>
        </w:rPr>
        <w:t>.</w:t>
      </w:r>
      <w:r>
        <w:t xml:space="preserve"> Nafar Komunitateen Kontseiluan Nafarroako Parlamentuak izendatu behar dituen bi ordezkari eta horien ordezkoak hautatzeko prozesua hastea. (11-25/ELCO-00001)</w:t>
      </w:r>
    </w:p>
    <w:p w14:paraId="393C0CCD" w14:textId="19543E70" w:rsidR="00BF6467" w:rsidRPr="00C705C9" w:rsidRDefault="00BF6467" w:rsidP="00BF6467">
      <w:pPr>
        <w:pStyle w:val="Textoindependiente"/>
        <w:spacing w:before="115" w:line="243" w:lineRule="auto"/>
        <w:ind w:left="0" w:right="107"/>
        <w:jc w:val="both"/>
        <w:rPr>
          <w:color w:val="000000" w:themeColor="text1"/>
        </w:rPr>
      </w:pPr>
      <w:r>
        <w:rPr>
          <w:b/>
          <w:bCs/>
          <w:u w:val="single"/>
        </w:rPr>
        <w:t>Bigarrena</w:t>
      </w:r>
      <w:r>
        <w:rPr>
          <w:u w:val="single"/>
        </w:rPr>
        <w:t>.</w:t>
      </w:r>
      <w:r>
        <w:t xml:space="preserve"> Aipatu hautaketa egiteko arauak onestea. Hona arau horiek:</w:t>
      </w:r>
      <w:r>
        <w:rPr>
          <w:color w:val="000000" w:themeColor="text1"/>
        </w:rPr>
        <w:t xml:space="preserve"> </w:t>
      </w:r>
    </w:p>
    <w:p w14:paraId="12523624" w14:textId="7BC041B4" w:rsidR="00557E7E" w:rsidRPr="009A4C83" w:rsidRDefault="00557E7E" w:rsidP="00557E7E">
      <w:pPr>
        <w:pStyle w:val="OFICIO-12"/>
      </w:pPr>
      <w:r>
        <w:t>1. Talde parlamentarioek eta foru parlamentarien elkarteak hautagaiak (titularrak eta ordezkoak) aurkezteko idazki bat helaraziko diote Legebiltzarreko Mahaiari, eta idazki horretan jasota agertuko da proposatutako hautagaiek adierazitako onarpena.</w:t>
      </w:r>
    </w:p>
    <w:p w14:paraId="2EF28CAF" w14:textId="1672D460" w:rsidR="009A4C83" w:rsidRPr="009A4C83" w:rsidRDefault="009A4C83" w:rsidP="009A4C83">
      <w:pPr>
        <w:pStyle w:val="Textoindependiente"/>
        <w:spacing w:before="56" w:line="243" w:lineRule="auto"/>
        <w:ind w:left="0" w:right="110"/>
        <w:jc w:val="both"/>
      </w:pPr>
      <w:r>
        <w:t>Hautagaitzak aurkezteko epea heldu d</w:t>
      </w:r>
      <w:r>
        <w:rPr>
          <w:color w:val="000000" w:themeColor="text1"/>
        </w:rPr>
        <w:t xml:space="preserve">en urtarrilaren 30eko 17:30ean </w:t>
      </w:r>
      <w:r>
        <w:t>bukatuko da. Epea bukatuta, Mahaiak haiek kalifikatu eta aldarrikatuko ditu.</w:t>
      </w:r>
    </w:p>
    <w:p w14:paraId="5B6AC245" w14:textId="05C716BB" w:rsidR="009A4C83" w:rsidRPr="009A4C83" w:rsidRDefault="009A4C83" w:rsidP="009A4C83">
      <w:pPr>
        <w:pStyle w:val="Textoindependiente"/>
        <w:numPr>
          <w:ilvl w:val="0"/>
          <w:numId w:val="1"/>
        </w:numPr>
        <w:tabs>
          <w:tab w:val="left" w:pos="726"/>
        </w:tabs>
        <w:spacing w:before="109" w:line="243" w:lineRule="auto"/>
        <w:ind w:right="122" w:firstLine="431"/>
        <w:jc w:val="both"/>
      </w:pPr>
      <w:r>
        <w:t xml:space="preserve">. Hautaketa Legebiltzarraren Osoko Bilkuran eginen da, ezkutuko bozketaren bidez. Txartelen bidez eginen da bozketa, eta </w:t>
      </w:r>
      <w:r>
        <w:rPr>
          <w:color w:val="000000" w:themeColor="text1"/>
        </w:rPr>
        <w:t>foru parlamentari bakoitzak gehienez ere bi izen jartzen ahalko ditu haietan.</w:t>
      </w:r>
    </w:p>
    <w:p w14:paraId="29ABC6A1" w14:textId="77777777" w:rsidR="009A4C83" w:rsidRPr="009A4C83" w:rsidRDefault="009A4C83" w:rsidP="009A4C83">
      <w:pPr>
        <w:pStyle w:val="Textoindependiente"/>
        <w:spacing w:line="243" w:lineRule="auto"/>
        <w:ind w:left="161" w:right="111"/>
        <w:jc w:val="both"/>
      </w:pPr>
      <w:r>
        <w:t xml:space="preserve">Boto eskuordeturik balego, eskuordetza-emailea deitu ondoren bozkatuko du </w:t>
      </w:r>
      <w:r>
        <w:lastRenderedPageBreak/>
        <w:t>eskuordetza-hartzaileak.</w:t>
      </w:r>
    </w:p>
    <w:p w14:paraId="3DEFE81A" w14:textId="77777777" w:rsidR="009A4C83" w:rsidRPr="009A4C83" w:rsidRDefault="009A4C83" w:rsidP="009A4C83">
      <w:pPr>
        <w:pStyle w:val="Textoindependiente"/>
        <w:spacing w:before="109" w:line="243" w:lineRule="auto"/>
        <w:ind w:left="161" w:right="110"/>
        <w:jc w:val="both"/>
      </w:pPr>
      <w:r>
        <w:t>Mahaiak botoak zenbatuko ditu, eta boto gehien lortu dituzten hautagaiak aldarrikatuko ditu.</w:t>
      </w:r>
    </w:p>
    <w:p w14:paraId="37A81094" w14:textId="62843A8D" w:rsidR="009A4C83" w:rsidRPr="009A4C83" w:rsidRDefault="009A4C83" w:rsidP="009A4C83">
      <w:pPr>
        <w:pStyle w:val="Textoindependiente"/>
        <w:numPr>
          <w:ilvl w:val="0"/>
          <w:numId w:val="1"/>
        </w:numPr>
        <w:tabs>
          <w:tab w:val="left" w:pos="726"/>
        </w:tabs>
        <w:spacing w:line="241" w:lineRule="auto"/>
        <w:ind w:right="116" w:firstLine="431"/>
        <w:jc w:val="both"/>
      </w:pPr>
      <w:r>
        <w:t>. Hautaketan eragina izan dezaketen balizko berdinketak ebatziko dira boto kopuru bera lortu duten hautagaien arteko bigarren bozketa baten bidez. Berdinketak bere horretan badirau, boto-kopuru bera duten hautagaien arteko hirugarren bozketa bat eginen da; eta berriro ere berdinketa gertatuz gero, hautaketa-prozedura amaitu dela deklaratuko da eta prozedura berri bati ekinen zaio.</w:t>
      </w:r>
    </w:p>
    <w:p w14:paraId="7E80155C" w14:textId="77777777" w:rsidR="009A4C83" w:rsidRPr="009A4C83" w:rsidRDefault="009A4C83" w:rsidP="009A4C83">
      <w:pPr>
        <w:pStyle w:val="Textoindependiente"/>
        <w:spacing w:before="115" w:line="243" w:lineRule="auto"/>
        <w:ind w:left="0" w:right="107"/>
        <w:jc w:val="both"/>
        <w:rPr>
          <w:bCs/>
        </w:rPr>
      </w:pPr>
      <w:r>
        <w:rPr>
          <w:b/>
          <w:bCs/>
          <w:u w:val="single"/>
        </w:rPr>
        <w:t>Hirugarrena.</w:t>
      </w:r>
      <w:r>
        <w:t xml:space="preserve"> Nafarroako Parlamentuko Aldizkari Ofizialean argitara dadin agintzea.</w:t>
      </w:r>
    </w:p>
    <w:p w14:paraId="0097E147" w14:textId="2B7F73BF" w:rsidR="00557E7E" w:rsidRDefault="00557E7E" w:rsidP="007C0E1C">
      <w:pPr>
        <w:pStyle w:val="OFICIO-12"/>
        <w:ind w:firstLine="0"/>
        <w:jc w:val="center"/>
      </w:pPr>
      <w:r>
        <w:t>Iruñean, 2025eko urtarrilaren 20an</w:t>
      </w:r>
    </w:p>
    <w:p w14:paraId="5DAA09C7" w14:textId="53882B2C" w:rsidR="007E6C39" w:rsidRPr="009A4C83" w:rsidRDefault="007E6C39" w:rsidP="00736E01">
      <w:pPr>
        <w:pStyle w:val="OFICIO-12"/>
        <w:spacing w:before="0" w:after="0"/>
        <w:ind w:firstLine="0"/>
        <w:jc w:val="center"/>
      </w:pPr>
      <w:r>
        <w:t>LEHENDAKARIA</w:t>
      </w:r>
    </w:p>
    <w:p w14:paraId="5F45FED8" w14:textId="77777777" w:rsidR="007E6C39" w:rsidRPr="00B978A1" w:rsidRDefault="007E6C39" w:rsidP="00736E01">
      <w:pPr>
        <w:pStyle w:val="ConvoFirma"/>
        <w:rPr>
          <w:sz w:val="24"/>
          <w:szCs w:val="24"/>
        </w:rPr>
      </w:pPr>
      <w:r>
        <w:rPr>
          <w:sz w:val="24"/>
        </w:rPr>
        <w:t>Unai Hualde Iglesias</w:t>
      </w:r>
    </w:p>
    <w:p w14:paraId="1B4E8AD3" w14:textId="77777777" w:rsidR="0004465E" w:rsidRPr="009F7232" w:rsidRDefault="0004465E" w:rsidP="00AB451F">
      <w:pPr>
        <w:rPr>
          <w:rFonts w:ascii="Arial" w:hAnsi="Arial" w:cs="Arial"/>
          <w:sz w:val="24"/>
          <w:szCs w:val="24"/>
        </w:rPr>
      </w:pPr>
    </w:p>
    <w:sectPr w:rsidR="0004465E" w:rsidRPr="009F7232" w:rsidSect="007D6B25">
      <w:headerReference w:type="first" r:id="rId7"/>
      <w:footerReference w:type="first" r:id="rId8"/>
      <w:pgSz w:w="11906" w:h="16838"/>
      <w:pgMar w:top="2694" w:right="1134" w:bottom="1134"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F7B96" w14:textId="77777777" w:rsidR="00BF6467" w:rsidRDefault="00BF6467" w:rsidP="00045BD6">
      <w:pPr>
        <w:spacing w:after="0" w:line="240" w:lineRule="auto"/>
      </w:pPr>
      <w:r>
        <w:separator/>
      </w:r>
    </w:p>
  </w:endnote>
  <w:endnote w:type="continuationSeparator" w:id="0">
    <w:p w14:paraId="1A8236A0" w14:textId="77777777" w:rsidR="00BF6467" w:rsidRDefault="00BF6467" w:rsidP="0004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69774" w14:textId="77777777" w:rsidR="004134ED" w:rsidRPr="008506CE" w:rsidRDefault="00FA25D5" w:rsidP="008506CE">
    <w:pPr>
      <w:pStyle w:val="Piedepgina"/>
      <w:tabs>
        <w:tab w:val="clear" w:pos="8504"/>
      </w:tabs>
      <w:rPr>
        <w:rFonts w:ascii="Arial" w:hAnsi="Arial" w:cs="Arial"/>
        <w:sz w:val="16"/>
        <w:szCs w:val="16"/>
      </w:rPr>
    </w:pPr>
    <w:r>
      <w:rPr>
        <w:noProof/>
      </w:rPr>
      <w:drawing>
        <wp:anchor distT="0" distB="0" distL="114300" distR="114300" simplePos="0" relativeHeight="251660288" behindDoc="0" locked="0" layoutInCell="1" allowOverlap="1" wp14:anchorId="66B33E7C" wp14:editId="0570F8C9">
          <wp:simplePos x="0" y="0"/>
          <wp:positionH relativeFrom="column">
            <wp:posOffset>3303270</wp:posOffset>
          </wp:positionH>
          <wp:positionV relativeFrom="paragraph">
            <wp:posOffset>7714615</wp:posOffset>
          </wp:positionV>
          <wp:extent cx="757555" cy="601980"/>
          <wp:effectExtent l="0" t="0" r="0" b="0"/>
          <wp:wrapNone/>
          <wp:docPr id="1661940602" name="Imagen 22" descr="::Log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descr="::Log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l="35194" r="35194" b="41809"/>
                  <a:stretch>
                    <a:fillRect/>
                  </a:stretch>
                </pic:blipFill>
                <pic:spPr bwMode="auto">
                  <a:xfrm>
                    <a:off x="0" y="0"/>
                    <a:ext cx="757555" cy="601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A04F369" wp14:editId="0AFAEC6C">
          <wp:simplePos x="0" y="0"/>
          <wp:positionH relativeFrom="column">
            <wp:posOffset>3303270</wp:posOffset>
          </wp:positionH>
          <wp:positionV relativeFrom="paragraph">
            <wp:posOffset>7714615</wp:posOffset>
          </wp:positionV>
          <wp:extent cx="757555" cy="601980"/>
          <wp:effectExtent l="0" t="0" r="0" b="0"/>
          <wp:wrapNone/>
          <wp:docPr id="1760362015" name="Imagen 23" descr="::Log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descr="::Log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l="35194" r="35194" b="41809"/>
                  <a:stretch>
                    <a:fillRect/>
                  </a:stretch>
                </pic:blipFill>
                <pic:spPr bwMode="auto">
                  <a:xfrm>
                    <a:off x="0" y="0"/>
                    <a:ext cx="757555" cy="601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74CA694" wp14:editId="329F5036">
          <wp:simplePos x="0" y="0"/>
          <wp:positionH relativeFrom="column">
            <wp:posOffset>4446270</wp:posOffset>
          </wp:positionH>
          <wp:positionV relativeFrom="paragraph">
            <wp:posOffset>8458200</wp:posOffset>
          </wp:positionV>
          <wp:extent cx="757555" cy="601980"/>
          <wp:effectExtent l="0" t="0" r="0" b="0"/>
          <wp:wrapNone/>
          <wp:docPr id="1577466382" name="Imagen 24" descr="::Log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descr="::Log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l="35194" r="35194" b="41809"/>
                  <a:stretch>
                    <a:fillRect/>
                  </a:stretch>
                </pic:blipFill>
                <pic:spPr bwMode="auto">
                  <a:xfrm>
                    <a:off x="0" y="0"/>
                    <a:ext cx="757555" cy="601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24D4F64B" wp14:editId="18F96A73">
          <wp:simplePos x="0" y="0"/>
          <wp:positionH relativeFrom="column">
            <wp:posOffset>4446270</wp:posOffset>
          </wp:positionH>
          <wp:positionV relativeFrom="paragraph">
            <wp:posOffset>8458200</wp:posOffset>
          </wp:positionV>
          <wp:extent cx="757555" cy="601980"/>
          <wp:effectExtent l="0" t="0" r="0" b="0"/>
          <wp:wrapNone/>
          <wp:docPr id="1264617354" name="Imagen 25" descr="::Log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descr="::Log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l="35194" r="35194" b="41809"/>
                  <a:stretch>
                    <a:fillRect/>
                  </a:stretch>
                </pic:blipFill>
                <pic:spPr bwMode="auto">
                  <a:xfrm>
                    <a:off x="0" y="0"/>
                    <a:ext cx="757555" cy="601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33757108" wp14:editId="3B7DFCAC">
          <wp:simplePos x="0" y="0"/>
          <wp:positionH relativeFrom="column">
            <wp:posOffset>3303270</wp:posOffset>
          </wp:positionH>
          <wp:positionV relativeFrom="paragraph">
            <wp:posOffset>7543800</wp:posOffset>
          </wp:positionV>
          <wp:extent cx="757555" cy="601980"/>
          <wp:effectExtent l="0" t="0" r="0" b="0"/>
          <wp:wrapNone/>
          <wp:docPr id="1595588098" name="Imagen 26" descr="::Log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descr="::Log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l="35194" r="35194" b="41809"/>
                  <a:stretch>
                    <a:fillRect/>
                  </a:stretch>
                </pic:blipFill>
                <pic:spPr bwMode="auto">
                  <a:xfrm>
                    <a:off x="0" y="0"/>
                    <a:ext cx="757555" cy="601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0" locked="0" layoutInCell="1" allowOverlap="1" wp14:anchorId="6B53383C" wp14:editId="72A14942">
          <wp:simplePos x="0" y="0"/>
          <wp:positionH relativeFrom="column">
            <wp:posOffset>3303270</wp:posOffset>
          </wp:positionH>
          <wp:positionV relativeFrom="paragraph">
            <wp:posOffset>7543800</wp:posOffset>
          </wp:positionV>
          <wp:extent cx="757555" cy="601980"/>
          <wp:effectExtent l="0" t="0" r="0" b="0"/>
          <wp:wrapNone/>
          <wp:docPr id="7849210" name="Imagen 27" descr="::Log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descr="::Log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l="35194" r="35194" b="41809"/>
                  <a:stretch>
                    <a:fillRect/>
                  </a:stretch>
                </pic:blipFill>
                <pic:spPr bwMode="auto">
                  <a:xfrm>
                    <a:off x="0" y="0"/>
                    <a:ext cx="757555" cy="601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144" behindDoc="0" locked="0" layoutInCell="1" allowOverlap="1" wp14:anchorId="308465BC" wp14:editId="623FA168">
          <wp:simplePos x="0" y="0"/>
          <wp:positionH relativeFrom="column">
            <wp:posOffset>3303270</wp:posOffset>
          </wp:positionH>
          <wp:positionV relativeFrom="paragraph">
            <wp:posOffset>7543800</wp:posOffset>
          </wp:positionV>
          <wp:extent cx="757555" cy="601980"/>
          <wp:effectExtent l="0" t="0" r="0" b="0"/>
          <wp:wrapNone/>
          <wp:docPr id="148590307" name="Imagen 28" descr="::Log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Log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l="35194" r="35194" b="41809"/>
                  <a:stretch>
                    <a:fillRect/>
                  </a:stretch>
                </pic:blipFill>
                <pic:spPr bwMode="auto">
                  <a:xfrm>
                    <a:off x="0" y="0"/>
                    <a:ext cx="757555" cy="6019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7B4E5" w14:textId="77777777" w:rsidR="00BF6467" w:rsidRDefault="00BF6467" w:rsidP="00045BD6">
      <w:pPr>
        <w:spacing w:after="0" w:line="240" w:lineRule="auto"/>
      </w:pPr>
      <w:r>
        <w:separator/>
      </w:r>
    </w:p>
  </w:footnote>
  <w:footnote w:type="continuationSeparator" w:id="0">
    <w:p w14:paraId="68F851A5" w14:textId="77777777" w:rsidR="00BF6467" w:rsidRDefault="00BF6467" w:rsidP="0004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193D" w14:textId="77777777" w:rsidR="009C2B33" w:rsidRDefault="00FA25D5" w:rsidP="00E154D2">
    <w:pPr>
      <w:pStyle w:val="Encabezado"/>
      <w:tabs>
        <w:tab w:val="clear" w:pos="4252"/>
        <w:tab w:val="clear" w:pos="8504"/>
      </w:tabs>
    </w:pPr>
    <w:r>
      <w:rPr>
        <w:noProof/>
      </w:rPr>
      <w:drawing>
        <wp:anchor distT="0" distB="0" distL="114300" distR="114300" simplePos="0" relativeHeight="251661312" behindDoc="1" locked="0" layoutInCell="1" allowOverlap="1" wp14:anchorId="32F197E1" wp14:editId="1C6F76A0">
          <wp:simplePos x="0" y="0"/>
          <wp:positionH relativeFrom="column">
            <wp:posOffset>-462915</wp:posOffset>
          </wp:positionH>
          <wp:positionV relativeFrom="paragraph">
            <wp:posOffset>-164465</wp:posOffset>
          </wp:positionV>
          <wp:extent cx="1579880" cy="1223645"/>
          <wp:effectExtent l="0" t="0" r="0" b="0"/>
          <wp:wrapNone/>
          <wp:docPr id="1813702041"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F23561"/>
    <w:multiLevelType w:val="hybridMultilevel"/>
    <w:tmpl w:val="09C8A84C"/>
    <w:lvl w:ilvl="0" w:tplc="E5208B28">
      <w:start w:val="2"/>
      <w:numFmt w:val="decimal"/>
      <w:lvlText w:val="%1"/>
      <w:lvlJc w:val="left"/>
      <w:pPr>
        <w:ind w:left="161" w:hanging="130"/>
        <w:jc w:val="left"/>
      </w:pPr>
      <w:rPr>
        <w:rFonts w:ascii="Arial" w:eastAsia="Arial" w:hAnsi="Arial" w:hint="default"/>
        <w:spacing w:val="-4"/>
        <w:sz w:val="24"/>
        <w:szCs w:val="24"/>
      </w:rPr>
    </w:lvl>
    <w:lvl w:ilvl="1" w:tplc="27788A14">
      <w:start w:val="1"/>
      <w:numFmt w:val="bullet"/>
      <w:lvlText w:val="•"/>
      <w:lvlJc w:val="left"/>
      <w:pPr>
        <w:ind w:left="1094" w:hanging="130"/>
      </w:pPr>
      <w:rPr>
        <w:rFonts w:hint="default"/>
      </w:rPr>
    </w:lvl>
    <w:lvl w:ilvl="2" w:tplc="B7FA620E">
      <w:start w:val="1"/>
      <w:numFmt w:val="bullet"/>
      <w:lvlText w:val="•"/>
      <w:lvlJc w:val="left"/>
      <w:pPr>
        <w:ind w:left="2027" w:hanging="130"/>
      </w:pPr>
      <w:rPr>
        <w:rFonts w:hint="default"/>
      </w:rPr>
    </w:lvl>
    <w:lvl w:ilvl="3" w:tplc="07A6AE8E">
      <w:start w:val="1"/>
      <w:numFmt w:val="bullet"/>
      <w:lvlText w:val="•"/>
      <w:lvlJc w:val="left"/>
      <w:pPr>
        <w:ind w:left="2960" w:hanging="130"/>
      </w:pPr>
      <w:rPr>
        <w:rFonts w:hint="default"/>
      </w:rPr>
    </w:lvl>
    <w:lvl w:ilvl="4" w:tplc="0CC681D2">
      <w:start w:val="1"/>
      <w:numFmt w:val="bullet"/>
      <w:lvlText w:val="•"/>
      <w:lvlJc w:val="left"/>
      <w:pPr>
        <w:ind w:left="3892" w:hanging="130"/>
      </w:pPr>
      <w:rPr>
        <w:rFonts w:hint="default"/>
      </w:rPr>
    </w:lvl>
    <w:lvl w:ilvl="5" w:tplc="C9C6638C">
      <w:start w:val="1"/>
      <w:numFmt w:val="bullet"/>
      <w:lvlText w:val="•"/>
      <w:lvlJc w:val="left"/>
      <w:pPr>
        <w:ind w:left="4825" w:hanging="130"/>
      </w:pPr>
      <w:rPr>
        <w:rFonts w:hint="default"/>
      </w:rPr>
    </w:lvl>
    <w:lvl w:ilvl="6" w:tplc="60AAE052">
      <w:start w:val="1"/>
      <w:numFmt w:val="bullet"/>
      <w:lvlText w:val="•"/>
      <w:lvlJc w:val="left"/>
      <w:pPr>
        <w:ind w:left="5758" w:hanging="130"/>
      </w:pPr>
      <w:rPr>
        <w:rFonts w:hint="default"/>
      </w:rPr>
    </w:lvl>
    <w:lvl w:ilvl="7" w:tplc="41FE1D50">
      <w:start w:val="1"/>
      <w:numFmt w:val="bullet"/>
      <w:lvlText w:val="•"/>
      <w:lvlJc w:val="left"/>
      <w:pPr>
        <w:ind w:left="6691" w:hanging="130"/>
      </w:pPr>
      <w:rPr>
        <w:rFonts w:hint="default"/>
      </w:rPr>
    </w:lvl>
    <w:lvl w:ilvl="8" w:tplc="E17C119E">
      <w:start w:val="1"/>
      <w:numFmt w:val="bullet"/>
      <w:lvlText w:val="•"/>
      <w:lvlJc w:val="left"/>
      <w:pPr>
        <w:ind w:left="7624" w:hanging="130"/>
      </w:pPr>
      <w:rPr>
        <w:rFonts w:hint="default"/>
      </w:rPr>
    </w:lvl>
  </w:abstractNum>
  <w:num w:numId="1" w16cid:durableId="2061128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467"/>
    <w:rsid w:val="0002087E"/>
    <w:rsid w:val="000248DB"/>
    <w:rsid w:val="0004465E"/>
    <w:rsid w:val="00045BD6"/>
    <w:rsid w:val="0007605D"/>
    <w:rsid w:val="000E6E6C"/>
    <w:rsid w:val="00104FCB"/>
    <w:rsid w:val="001B70DC"/>
    <w:rsid w:val="001F5FF7"/>
    <w:rsid w:val="001F60A6"/>
    <w:rsid w:val="00210EB9"/>
    <w:rsid w:val="0023750B"/>
    <w:rsid w:val="00282B30"/>
    <w:rsid w:val="002C7AE7"/>
    <w:rsid w:val="0033490E"/>
    <w:rsid w:val="003B0A44"/>
    <w:rsid w:val="00400269"/>
    <w:rsid w:val="004134ED"/>
    <w:rsid w:val="0043408F"/>
    <w:rsid w:val="0043500B"/>
    <w:rsid w:val="00446175"/>
    <w:rsid w:val="00474C39"/>
    <w:rsid w:val="004D207B"/>
    <w:rsid w:val="004F7A0E"/>
    <w:rsid w:val="004F7B20"/>
    <w:rsid w:val="00536A72"/>
    <w:rsid w:val="00557E7E"/>
    <w:rsid w:val="00584F5C"/>
    <w:rsid w:val="005B67D5"/>
    <w:rsid w:val="005C6B38"/>
    <w:rsid w:val="005E18C7"/>
    <w:rsid w:val="00665E26"/>
    <w:rsid w:val="006860E1"/>
    <w:rsid w:val="006B4342"/>
    <w:rsid w:val="006F730A"/>
    <w:rsid w:val="00702A51"/>
    <w:rsid w:val="00736E01"/>
    <w:rsid w:val="007B132D"/>
    <w:rsid w:val="007C0E1C"/>
    <w:rsid w:val="007D6B25"/>
    <w:rsid w:val="007E2990"/>
    <w:rsid w:val="007E6C39"/>
    <w:rsid w:val="007F5E26"/>
    <w:rsid w:val="0083688C"/>
    <w:rsid w:val="008506CE"/>
    <w:rsid w:val="00866357"/>
    <w:rsid w:val="008F6D0D"/>
    <w:rsid w:val="009538A1"/>
    <w:rsid w:val="00965422"/>
    <w:rsid w:val="009A4C83"/>
    <w:rsid w:val="009C2B33"/>
    <w:rsid w:val="009F7232"/>
    <w:rsid w:val="00AB451F"/>
    <w:rsid w:val="00B25621"/>
    <w:rsid w:val="00B53F6C"/>
    <w:rsid w:val="00B71638"/>
    <w:rsid w:val="00B74A13"/>
    <w:rsid w:val="00BA38AB"/>
    <w:rsid w:val="00BC2BAD"/>
    <w:rsid w:val="00BF6467"/>
    <w:rsid w:val="00C17BD1"/>
    <w:rsid w:val="00C50EEB"/>
    <w:rsid w:val="00C705C9"/>
    <w:rsid w:val="00CB6DA4"/>
    <w:rsid w:val="00CD029E"/>
    <w:rsid w:val="00D263BC"/>
    <w:rsid w:val="00D41CF3"/>
    <w:rsid w:val="00D73DAD"/>
    <w:rsid w:val="00D7623B"/>
    <w:rsid w:val="00DE002D"/>
    <w:rsid w:val="00DF431D"/>
    <w:rsid w:val="00E03699"/>
    <w:rsid w:val="00E154D2"/>
    <w:rsid w:val="00E65543"/>
    <w:rsid w:val="00EE0C28"/>
    <w:rsid w:val="00F0655C"/>
    <w:rsid w:val="00F676FF"/>
    <w:rsid w:val="00F92D71"/>
    <w:rsid w:val="00FA25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93A0F"/>
  <w15:chartTrackingRefBased/>
  <w15:docId w15:val="{D6A3D8D6-2098-45E2-8ED9-2A8457C2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31D"/>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5BD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45BD6"/>
  </w:style>
  <w:style w:type="paragraph" w:styleId="Piedepgina">
    <w:name w:val="footer"/>
    <w:basedOn w:val="Normal"/>
    <w:link w:val="PiedepginaCar"/>
    <w:uiPriority w:val="99"/>
    <w:unhideWhenUsed/>
    <w:rsid w:val="00045BD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45BD6"/>
  </w:style>
  <w:style w:type="paragraph" w:styleId="Textodeglobo">
    <w:name w:val="Balloon Text"/>
    <w:basedOn w:val="Normal"/>
    <w:link w:val="TextodegloboCar"/>
    <w:uiPriority w:val="99"/>
    <w:semiHidden/>
    <w:unhideWhenUsed/>
    <w:rsid w:val="00045BD6"/>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045BD6"/>
    <w:rPr>
      <w:rFonts w:ascii="Tahoma" w:hAnsi="Tahoma" w:cs="Tahoma"/>
      <w:sz w:val="16"/>
      <w:szCs w:val="16"/>
    </w:rPr>
  </w:style>
  <w:style w:type="paragraph" w:customStyle="1" w:styleId="OFICIO-12">
    <w:name w:val="OFICIO-12"/>
    <w:basedOn w:val="Normal"/>
    <w:rsid w:val="00557E7E"/>
    <w:pPr>
      <w:overflowPunct w:val="0"/>
      <w:autoSpaceDE w:val="0"/>
      <w:autoSpaceDN w:val="0"/>
      <w:adjustRightInd w:val="0"/>
      <w:spacing w:before="120" w:after="120" w:line="240" w:lineRule="auto"/>
      <w:ind w:firstLine="425"/>
      <w:jc w:val="both"/>
      <w:textAlignment w:val="baseline"/>
    </w:pPr>
    <w:rPr>
      <w:rFonts w:ascii="Arial" w:eastAsia="Times New Roman" w:hAnsi="Arial"/>
      <w:sz w:val="24"/>
      <w:szCs w:val="20"/>
      <w:lang w:eastAsia="es-ES"/>
    </w:rPr>
  </w:style>
  <w:style w:type="paragraph" w:customStyle="1" w:styleId="ConvoFecha">
    <w:name w:val="ConvoFecha"/>
    <w:rsid w:val="007E6C39"/>
    <w:pPr>
      <w:jc w:val="center"/>
    </w:pPr>
    <w:rPr>
      <w:rFonts w:ascii="Arial (W1)" w:eastAsia="Times New Roman" w:hAnsi="Arial (W1)"/>
      <w:bCs/>
      <w:iCs/>
      <w:sz w:val="22"/>
    </w:rPr>
  </w:style>
  <w:style w:type="paragraph" w:customStyle="1" w:styleId="ConvoFirma">
    <w:name w:val="ConvoFirma"/>
    <w:basedOn w:val="Normal"/>
    <w:rsid w:val="007E6C39"/>
    <w:pPr>
      <w:spacing w:after="0" w:line="240" w:lineRule="auto"/>
      <w:jc w:val="center"/>
    </w:pPr>
    <w:rPr>
      <w:rFonts w:ascii="Arial (W1)" w:eastAsia="Times New Roman" w:hAnsi="Arial (W1)" w:cs="Arial"/>
      <w:iCs/>
      <w:szCs w:val="20"/>
      <w:lang w:eastAsia="es-ES"/>
    </w:rPr>
  </w:style>
  <w:style w:type="paragraph" w:styleId="Textoindependiente">
    <w:name w:val="Body Text"/>
    <w:basedOn w:val="Normal"/>
    <w:link w:val="TextoindependienteCar"/>
    <w:uiPriority w:val="1"/>
    <w:qFormat/>
    <w:rsid w:val="00BF6467"/>
    <w:pPr>
      <w:widowControl w:val="0"/>
      <w:spacing w:before="110" w:after="0" w:line="240" w:lineRule="auto"/>
      <w:ind w:left="761" w:firstLine="430"/>
    </w:pPr>
    <w:rPr>
      <w:rFonts w:ascii="Arial" w:eastAsia="Arial" w:hAnsi="Arial" w:cstheme="minorBidi"/>
      <w:sz w:val="24"/>
      <w:szCs w:val="24"/>
    </w:rPr>
  </w:style>
  <w:style w:type="character" w:customStyle="1" w:styleId="TextoindependienteCar">
    <w:name w:val="Texto independiente Car"/>
    <w:basedOn w:val="Fuentedeprrafopredeter"/>
    <w:link w:val="Textoindependiente"/>
    <w:uiPriority w:val="1"/>
    <w:rsid w:val="00BF6467"/>
    <w:rPr>
      <w:rFonts w:ascii="Arial" w:eastAsia="Arial" w:hAnsi="Arial" w:cstheme="minorBidi"/>
      <w:sz w:val="24"/>
      <w:szCs w:val="24"/>
      <w:lang w:val="eu-ES" w:eastAsia="en-US"/>
    </w:rPr>
  </w:style>
  <w:style w:type="paragraph" w:styleId="Prrafodelista">
    <w:name w:val="List Paragraph"/>
    <w:basedOn w:val="Normal"/>
    <w:uiPriority w:val="34"/>
    <w:qFormat/>
    <w:rsid w:val="009A4C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Logo%20Parlamento%20negro.jpg"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Escudo%20Parlamento%20negro.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mbo\Desktop\Plantilla%20Acuerdos%20Mesa%2015.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Acuerdos Mesa 15</Template>
  <TotalTime>17</TotalTime>
  <Pages>2</Pages>
  <Words>617</Words>
  <Characters>2872</Characters>
  <Application>Microsoft Office Word</Application>
  <DocSecurity>0</DocSecurity>
  <Lines>319</Lines>
  <Paragraphs>268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3221</CharactersWithSpaces>
  <SharedDoc>false</SharedDoc>
  <HLinks>
    <vt:vector size="48" baseType="variant">
      <vt:variant>
        <vt:i4>2162812</vt:i4>
      </vt:variant>
      <vt:variant>
        <vt:i4>-1</vt:i4>
      </vt:variant>
      <vt:variant>
        <vt:i4>1025</vt:i4>
      </vt:variant>
      <vt:variant>
        <vt:i4>1</vt:i4>
      </vt:variant>
      <vt:variant>
        <vt:lpwstr>::Logo Parlamento negro.jpg</vt:lpwstr>
      </vt:variant>
      <vt:variant>
        <vt:lpwstr/>
      </vt:variant>
      <vt:variant>
        <vt:i4>2162812</vt:i4>
      </vt:variant>
      <vt:variant>
        <vt:i4>-1</vt:i4>
      </vt:variant>
      <vt:variant>
        <vt:i4>1026</vt:i4>
      </vt:variant>
      <vt:variant>
        <vt:i4>1</vt:i4>
      </vt:variant>
      <vt:variant>
        <vt:lpwstr>::Logo Parlamento negro.jpg</vt:lpwstr>
      </vt:variant>
      <vt:variant>
        <vt:lpwstr/>
      </vt:variant>
      <vt:variant>
        <vt:i4>2162812</vt:i4>
      </vt:variant>
      <vt:variant>
        <vt:i4>-1</vt:i4>
      </vt:variant>
      <vt:variant>
        <vt:i4>1027</vt:i4>
      </vt:variant>
      <vt:variant>
        <vt:i4>1</vt:i4>
      </vt:variant>
      <vt:variant>
        <vt:lpwstr>::Logo Parlamento negro.jpg</vt:lpwstr>
      </vt:variant>
      <vt:variant>
        <vt:lpwstr/>
      </vt:variant>
      <vt:variant>
        <vt:i4>2162812</vt:i4>
      </vt:variant>
      <vt:variant>
        <vt:i4>-1</vt:i4>
      </vt:variant>
      <vt:variant>
        <vt:i4>1028</vt:i4>
      </vt:variant>
      <vt:variant>
        <vt:i4>1</vt:i4>
      </vt:variant>
      <vt:variant>
        <vt:lpwstr>::Logo Parlamento negro.jpg</vt:lpwstr>
      </vt:variant>
      <vt:variant>
        <vt:lpwstr/>
      </vt:variant>
      <vt:variant>
        <vt:i4>2162812</vt:i4>
      </vt:variant>
      <vt:variant>
        <vt:i4>-1</vt:i4>
      </vt:variant>
      <vt:variant>
        <vt:i4>1029</vt:i4>
      </vt:variant>
      <vt:variant>
        <vt:i4>1</vt:i4>
      </vt:variant>
      <vt:variant>
        <vt:lpwstr>::Logo Parlamento negro.jpg</vt:lpwstr>
      </vt:variant>
      <vt:variant>
        <vt:lpwstr/>
      </vt:variant>
      <vt:variant>
        <vt:i4>2162812</vt:i4>
      </vt:variant>
      <vt:variant>
        <vt:i4>-1</vt:i4>
      </vt:variant>
      <vt:variant>
        <vt:i4>1030</vt:i4>
      </vt:variant>
      <vt:variant>
        <vt:i4>1</vt:i4>
      </vt:variant>
      <vt:variant>
        <vt:lpwstr>::Logo Parlamento negro.jpg</vt:lpwstr>
      </vt:variant>
      <vt:variant>
        <vt:lpwstr/>
      </vt:variant>
      <vt:variant>
        <vt:i4>2162812</vt:i4>
      </vt:variant>
      <vt:variant>
        <vt:i4>-1</vt:i4>
      </vt:variant>
      <vt:variant>
        <vt:i4>1031</vt:i4>
      </vt:variant>
      <vt:variant>
        <vt:i4>1</vt:i4>
      </vt:variant>
      <vt:variant>
        <vt:lpwstr>::Logo Parlamento negro.jpg</vt:lpwstr>
      </vt:variant>
      <vt:variant>
        <vt:lpwstr/>
      </vt:variant>
      <vt:variant>
        <vt:i4>4718613</vt:i4>
      </vt:variant>
      <vt:variant>
        <vt:i4>-1</vt:i4>
      </vt:variant>
      <vt:variant>
        <vt:i4>1033</vt:i4>
      </vt:variant>
      <vt:variant>
        <vt:i4>1</vt:i4>
      </vt:variant>
      <vt:variant>
        <vt:lpwstr>::Escudo Parlamento negro.jpg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Mombo Marturet, Patricia</dc:creator>
  <cp:keywords/>
  <cp:lastModifiedBy>Martin Cestao, Nerea</cp:lastModifiedBy>
  <cp:revision>5</cp:revision>
  <cp:lastPrinted>2025-01-17T12:07:00Z</cp:lastPrinted>
  <dcterms:created xsi:type="dcterms:W3CDTF">2025-01-17T11:43:00Z</dcterms:created>
  <dcterms:modified xsi:type="dcterms:W3CDTF">2025-01-23T12:28:00Z</dcterms:modified>
</cp:coreProperties>
</file>