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B39A" w14:textId="20271AFE" w:rsidR="000E7555" w:rsidRDefault="000E7555" w:rsidP="000D672B">
      <w:pPr>
        <w:pStyle w:val="EstiloPortada"/>
        <w:ind w:left="3545" w:right="0" w:hanging="568"/>
        <w:jc w:val="right"/>
        <w:rPr>
          <w:rFonts w:ascii="Arial" w:hAnsi="Arial" w:cs="Arial"/>
          <w:color w:val="808080"/>
          <w:sz w:val="40"/>
        </w:rPr>
      </w:pPr>
    </w:p>
    <w:p w14:paraId="72335D79" w14:textId="77777777" w:rsidR="002455A7" w:rsidRDefault="002455A7" w:rsidP="00807E15">
      <w:pPr>
        <w:pStyle w:val="EstiloPortada"/>
        <w:ind w:left="2941" w:right="0" w:firstLine="36"/>
        <w:jc w:val="right"/>
        <w:rPr>
          <w:rFonts w:ascii="Arial" w:hAnsi="Arial" w:cs="Arial"/>
          <w:color w:val="808080"/>
          <w:sz w:val="40"/>
        </w:rPr>
      </w:pPr>
    </w:p>
    <w:p w14:paraId="0A8E568C" w14:textId="77777777" w:rsidR="002455A7" w:rsidRDefault="002455A7" w:rsidP="00807E15">
      <w:pPr>
        <w:pStyle w:val="EstiloPortada"/>
        <w:ind w:left="2941" w:right="0" w:firstLine="36"/>
        <w:jc w:val="right"/>
        <w:rPr>
          <w:rFonts w:ascii="Arial" w:hAnsi="Arial" w:cs="Arial"/>
          <w:color w:val="808080"/>
          <w:sz w:val="40"/>
        </w:rPr>
      </w:pPr>
    </w:p>
    <w:p w14:paraId="76AE52B8" w14:textId="77777777" w:rsidR="002455A7" w:rsidRDefault="002455A7" w:rsidP="00807E15">
      <w:pPr>
        <w:pStyle w:val="EstiloPortada"/>
        <w:ind w:left="2941" w:right="0" w:firstLine="36"/>
        <w:jc w:val="right"/>
        <w:rPr>
          <w:rFonts w:ascii="Arial" w:hAnsi="Arial" w:cs="Arial"/>
          <w:color w:val="808080"/>
          <w:sz w:val="40"/>
        </w:rPr>
      </w:pPr>
    </w:p>
    <w:p w14:paraId="3F27C1E5" w14:textId="77777777" w:rsidR="00A67B6F" w:rsidRDefault="00A67B6F" w:rsidP="00A67B6F">
      <w:pPr>
        <w:pStyle w:val="EstiloPortada"/>
        <w:ind w:left="2941" w:right="0" w:firstLine="36"/>
        <w:jc w:val="right"/>
        <w:rPr>
          <w:rFonts w:ascii="Arial" w:hAnsi="Arial" w:cs="Arial"/>
          <w:color w:val="808080"/>
          <w:sz w:val="40"/>
        </w:rPr>
      </w:pPr>
      <w:r>
        <w:rPr>
          <w:rFonts w:ascii="Arial" w:hAnsi="Arial" w:cs="Arial"/>
          <w:color w:val="808080"/>
          <w:sz w:val="40"/>
        </w:rPr>
        <w:t>Informe definitivo</w:t>
      </w:r>
    </w:p>
    <w:p w14:paraId="55FC8764" w14:textId="77777777" w:rsidR="00685D81" w:rsidRDefault="000968B4" w:rsidP="00807E15">
      <w:pPr>
        <w:pStyle w:val="portada"/>
        <w:ind w:left="2977" w:hanging="283"/>
        <w:jc w:val="right"/>
        <w:rPr>
          <w:rFonts w:ascii="Times New Roman" w:eastAsia="Times New Roman" w:hAnsi="Times New Roman"/>
          <w:b/>
          <w:sz w:val="44"/>
          <w:szCs w:val="44"/>
        </w:rPr>
      </w:pPr>
      <w:r>
        <w:rPr>
          <w:rFonts w:ascii="Times New Roman" w:eastAsia="Times New Roman" w:hAnsi="Times New Roman"/>
          <w:b/>
          <w:sz w:val="44"/>
          <w:szCs w:val="44"/>
        </w:rPr>
        <w:t>Gesti</w:t>
      </w:r>
      <w:r w:rsidR="00685D81">
        <w:rPr>
          <w:rFonts w:ascii="Times New Roman" w:eastAsia="Times New Roman" w:hAnsi="Times New Roman"/>
          <w:b/>
          <w:sz w:val="44"/>
          <w:szCs w:val="44"/>
        </w:rPr>
        <w:t xml:space="preserve">ón de la renta </w:t>
      </w:r>
      <w:r>
        <w:rPr>
          <w:rFonts w:ascii="Times New Roman" w:eastAsia="Times New Roman" w:hAnsi="Times New Roman"/>
          <w:b/>
          <w:sz w:val="44"/>
          <w:szCs w:val="44"/>
        </w:rPr>
        <w:t xml:space="preserve">garantizada </w:t>
      </w:r>
    </w:p>
    <w:p w14:paraId="38CBC599" w14:textId="77777777" w:rsidR="006A794C" w:rsidRPr="006A794C" w:rsidRDefault="000968B4" w:rsidP="00807E15">
      <w:pPr>
        <w:pStyle w:val="portada"/>
        <w:ind w:left="2977" w:hanging="283"/>
        <w:jc w:val="right"/>
        <w:rPr>
          <w:rFonts w:ascii="Times New Roman" w:eastAsia="Times New Roman" w:hAnsi="Times New Roman"/>
          <w:b/>
          <w:sz w:val="44"/>
          <w:szCs w:val="44"/>
        </w:rPr>
      </w:pPr>
      <w:r>
        <w:rPr>
          <w:rFonts w:ascii="Times New Roman" w:eastAsia="Times New Roman" w:hAnsi="Times New Roman"/>
          <w:b/>
          <w:sz w:val="44"/>
          <w:szCs w:val="44"/>
        </w:rPr>
        <w:t xml:space="preserve">y su </w:t>
      </w:r>
      <w:r w:rsidR="006A794C" w:rsidRPr="006A794C">
        <w:rPr>
          <w:rFonts w:ascii="Times New Roman" w:eastAsia="Times New Roman" w:hAnsi="Times New Roman"/>
          <w:b/>
          <w:sz w:val="44"/>
          <w:szCs w:val="44"/>
        </w:rPr>
        <w:t>impacto en el empleo</w:t>
      </w:r>
    </w:p>
    <w:p w14:paraId="44EA0800" w14:textId="77777777" w:rsidR="006A794C" w:rsidRDefault="006A794C" w:rsidP="00807E15">
      <w:pPr>
        <w:pStyle w:val="texto"/>
        <w:tabs>
          <w:tab w:val="left" w:pos="3261"/>
        </w:tabs>
        <w:ind w:left="2835" w:hanging="283"/>
        <w:jc w:val="right"/>
        <w:rPr>
          <w:b/>
          <w:sz w:val="44"/>
          <w:szCs w:val="44"/>
        </w:rPr>
      </w:pPr>
      <w:r w:rsidRPr="006A794C">
        <w:rPr>
          <w:b/>
          <w:sz w:val="44"/>
          <w:szCs w:val="44"/>
        </w:rPr>
        <w:tab/>
      </w:r>
      <w:r w:rsidR="00685D81">
        <w:rPr>
          <w:b/>
          <w:sz w:val="44"/>
          <w:szCs w:val="44"/>
        </w:rPr>
        <w:t xml:space="preserve">    </w:t>
      </w:r>
      <w:r w:rsidRPr="006A794C">
        <w:rPr>
          <w:b/>
          <w:sz w:val="44"/>
          <w:szCs w:val="44"/>
        </w:rPr>
        <w:t>(2019-2023)</w:t>
      </w:r>
    </w:p>
    <w:p w14:paraId="6A05A809" w14:textId="77777777" w:rsidR="006A794C" w:rsidRPr="00204979" w:rsidRDefault="006A794C" w:rsidP="00E771A5">
      <w:pPr>
        <w:pStyle w:val="texto"/>
        <w:jc w:val="right"/>
      </w:pPr>
    </w:p>
    <w:p w14:paraId="5A39BBE3" w14:textId="77777777" w:rsidR="006A794C" w:rsidRPr="00204979" w:rsidRDefault="006A794C" w:rsidP="006A794C">
      <w:pPr>
        <w:pStyle w:val="texto"/>
      </w:pPr>
    </w:p>
    <w:p w14:paraId="41C8F396" w14:textId="77777777" w:rsidR="006A794C" w:rsidRPr="00204979" w:rsidRDefault="006A794C" w:rsidP="006A794C">
      <w:pPr>
        <w:pStyle w:val="texto"/>
      </w:pPr>
    </w:p>
    <w:p w14:paraId="72A3D3EC" w14:textId="211B7381" w:rsidR="006A794C" w:rsidRDefault="006A794C" w:rsidP="006A794C">
      <w:pPr>
        <w:pStyle w:val="texto"/>
      </w:pPr>
    </w:p>
    <w:p w14:paraId="352AE991" w14:textId="4A4F2103" w:rsidR="00452421" w:rsidRDefault="00452421" w:rsidP="006A794C">
      <w:pPr>
        <w:pStyle w:val="texto"/>
      </w:pPr>
    </w:p>
    <w:p w14:paraId="58B258EA" w14:textId="4D09E744" w:rsidR="00452421" w:rsidRDefault="00452421" w:rsidP="006A794C">
      <w:pPr>
        <w:pStyle w:val="texto"/>
      </w:pPr>
    </w:p>
    <w:p w14:paraId="0FFA08E0" w14:textId="063345CE" w:rsidR="00452421" w:rsidRDefault="00452421" w:rsidP="006A794C">
      <w:pPr>
        <w:pStyle w:val="texto"/>
      </w:pPr>
    </w:p>
    <w:p w14:paraId="7809ADCC" w14:textId="265D73A1" w:rsidR="00452421" w:rsidRDefault="00452421" w:rsidP="006A794C">
      <w:pPr>
        <w:pStyle w:val="texto"/>
      </w:pPr>
    </w:p>
    <w:p w14:paraId="6A29BF87" w14:textId="5EA5884A" w:rsidR="00452421" w:rsidRDefault="00452421" w:rsidP="006A794C">
      <w:pPr>
        <w:pStyle w:val="texto"/>
      </w:pPr>
    </w:p>
    <w:p w14:paraId="0F6A6E74" w14:textId="011C1D61" w:rsidR="00452421" w:rsidRDefault="00452421" w:rsidP="006A794C">
      <w:pPr>
        <w:pStyle w:val="texto"/>
      </w:pPr>
    </w:p>
    <w:p w14:paraId="2E9FBF6C" w14:textId="417F5A04" w:rsidR="00452421" w:rsidRDefault="00452421" w:rsidP="006A794C">
      <w:pPr>
        <w:pStyle w:val="texto"/>
      </w:pPr>
    </w:p>
    <w:p w14:paraId="4DAD313E" w14:textId="77777777" w:rsidR="00452421" w:rsidRPr="00204979" w:rsidRDefault="00452421" w:rsidP="006A794C">
      <w:pPr>
        <w:pStyle w:val="texto"/>
      </w:pPr>
    </w:p>
    <w:p w14:paraId="0D0B940D" w14:textId="77777777" w:rsidR="006A794C" w:rsidRPr="00204979" w:rsidRDefault="006A794C" w:rsidP="006A794C">
      <w:pPr>
        <w:pStyle w:val="texto"/>
      </w:pPr>
    </w:p>
    <w:p w14:paraId="0E27B00A" w14:textId="2210A7DE" w:rsidR="006A794C" w:rsidRDefault="006A794C" w:rsidP="006A794C">
      <w:pPr>
        <w:pStyle w:val="texto"/>
      </w:pPr>
    </w:p>
    <w:p w14:paraId="7404B15C" w14:textId="77777777" w:rsidR="00452421" w:rsidRPr="00204979" w:rsidRDefault="00452421" w:rsidP="006A794C">
      <w:pPr>
        <w:pStyle w:val="texto"/>
      </w:pPr>
    </w:p>
    <w:p w14:paraId="60061E4C" w14:textId="77777777" w:rsidR="006A794C" w:rsidRPr="00204979" w:rsidRDefault="006A794C" w:rsidP="006A794C">
      <w:pPr>
        <w:pStyle w:val="texto"/>
      </w:pPr>
    </w:p>
    <w:p w14:paraId="44EAFD9C" w14:textId="77777777" w:rsidR="006A794C" w:rsidRPr="00204979" w:rsidRDefault="006A794C" w:rsidP="006A794C">
      <w:pPr>
        <w:pStyle w:val="texto"/>
      </w:pPr>
    </w:p>
    <w:p w14:paraId="4B94D5A5" w14:textId="77777777" w:rsidR="006A794C" w:rsidRPr="00204979" w:rsidRDefault="006A794C" w:rsidP="006A794C">
      <w:pPr>
        <w:pStyle w:val="texto"/>
      </w:pPr>
    </w:p>
    <w:p w14:paraId="3DEEC669" w14:textId="77777777" w:rsidR="006A794C" w:rsidRPr="00204979" w:rsidRDefault="006A794C" w:rsidP="006A794C">
      <w:pPr>
        <w:pStyle w:val="texto"/>
      </w:pPr>
    </w:p>
    <w:p w14:paraId="3656B9AB" w14:textId="77777777" w:rsidR="006A794C" w:rsidRPr="00204979" w:rsidRDefault="006A794C" w:rsidP="006A794C">
      <w:pPr>
        <w:pStyle w:val="texto"/>
      </w:pPr>
    </w:p>
    <w:p w14:paraId="746C25D8" w14:textId="15D79FB2" w:rsidR="004F19E2" w:rsidRDefault="009007D7" w:rsidP="000D6F11">
      <w:pPr>
        <w:pStyle w:val="Fechaportada"/>
      </w:pPr>
      <w:r>
        <w:t>Enero</w:t>
      </w:r>
      <w:r w:rsidR="006A794C" w:rsidRPr="00FD2767">
        <w:t xml:space="preserve"> de 202</w:t>
      </w:r>
      <w:r>
        <w:t>5</w:t>
      </w:r>
    </w:p>
    <w:p w14:paraId="0C1634FA" w14:textId="7AFFDF99" w:rsidR="004E7086" w:rsidRDefault="004E7086" w:rsidP="000D6F11">
      <w:pPr>
        <w:pStyle w:val="Fechaportada"/>
      </w:pPr>
    </w:p>
    <w:p w14:paraId="4531F6EE" w14:textId="37D8AD91" w:rsidR="004E7086" w:rsidRDefault="004E7086" w:rsidP="000D6F11">
      <w:pPr>
        <w:pStyle w:val="Fechaportada"/>
      </w:pPr>
    </w:p>
    <w:p w14:paraId="0E875A56" w14:textId="77777777" w:rsidR="004E7086" w:rsidRDefault="004E7086" w:rsidP="000D6F11">
      <w:pPr>
        <w:pStyle w:val="Fechaportada"/>
        <w:sectPr w:rsidR="004E7086" w:rsidSect="00A5045E">
          <w:headerReference w:type="default" r:id="rId11"/>
          <w:footerReference w:type="default" r:id="rId12"/>
          <w:type w:val="oddPage"/>
          <w:pgSz w:w="11906" w:h="16838"/>
          <w:pgMar w:top="1702" w:right="1558" w:bottom="1276" w:left="1701" w:header="708" w:footer="0" w:gutter="0"/>
          <w:cols w:space="708"/>
          <w:docGrid w:linePitch="360"/>
        </w:sectPr>
      </w:pPr>
    </w:p>
    <w:p w14:paraId="67E548B6" w14:textId="4D7E50C2" w:rsidR="004E7086" w:rsidRDefault="00411A67">
      <w:pPr>
        <w:spacing w:after="160" w:line="259" w:lineRule="auto"/>
      </w:pPr>
      <w:r>
        <w:rPr>
          <w:noProof/>
        </w:rPr>
        <w:lastRenderedPageBreak/>
        <w:drawing>
          <wp:anchor distT="0" distB="0" distL="114300" distR="114300" simplePos="0" relativeHeight="251660288" behindDoc="1" locked="0" layoutInCell="1" allowOverlap="1" wp14:anchorId="55C65C74" wp14:editId="1EB631D2">
            <wp:simplePos x="0" y="0"/>
            <wp:positionH relativeFrom="column">
              <wp:posOffset>1270</wp:posOffset>
            </wp:positionH>
            <wp:positionV relativeFrom="paragraph">
              <wp:posOffset>168060</wp:posOffset>
            </wp:positionV>
            <wp:extent cx="5490845" cy="6863715"/>
            <wp:effectExtent l="0" t="0" r="0" b="0"/>
            <wp:wrapTight wrapText="bothSides">
              <wp:wrapPolygon edited="0">
                <wp:start x="0" y="0"/>
                <wp:lineTo x="0" y="21522"/>
                <wp:lineTo x="21508" y="21522"/>
                <wp:lineTo x="21508"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fografiaDefinitiva.png"/>
                    <pic:cNvPicPr/>
                  </pic:nvPicPr>
                  <pic:blipFill>
                    <a:blip r:embed="rId13">
                      <a:extLst>
                        <a:ext uri="{28A0092B-C50C-407E-A947-70E740481C1C}">
                          <a14:useLocalDpi xmlns:a14="http://schemas.microsoft.com/office/drawing/2010/main" val="0"/>
                        </a:ext>
                      </a:extLst>
                    </a:blip>
                    <a:stretch>
                      <a:fillRect/>
                    </a:stretch>
                  </pic:blipFill>
                  <pic:spPr>
                    <a:xfrm>
                      <a:off x="0" y="0"/>
                      <a:ext cx="5490845" cy="6863715"/>
                    </a:xfrm>
                    <a:prstGeom prst="rect">
                      <a:avLst/>
                    </a:prstGeom>
                  </pic:spPr>
                </pic:pic>
              </a:graphicData>
            </a:graphic>
          </wp:anchor>
        </w:drawing>
      </w:r>
    </w:p>
    <w:p w14:paraId="10ADBBB4" w14:textId="77777777" w:rsidR="004E7086" w:rsidRDefault="004E7086">
      <w:pPr>
        <w:spacing w:after="160" w:line="259" w:lineRule="auto"/>
      </w:pPr>
    </w:p>
    <w:p w14:paraId="64913DC7" w14:textId="77777777" w:rsidR="00411A67" w:rsidRDefault="00411A67" w:rsidP="000D6F11">
      <w:pPr>
        <w:pStyle w:val="Fechaportada"/>
        <w:sectPr w:rsidR="00411A67" w:rsidSect="002455A7">
          <w:headerReference w:type="default" r:id="rId14"/>
          <w:pgSz w:w="11906" w:h="16838"/>
          <w:pgMar w:top="1702" w:right="1558" w:bottom="1276" w:left="1701" w:header="708" w:footer="0" w:gutter="0"/>
          <w:cols w:space="708"/>
          <w:docGrid w:linePitch="360"/>
        </w:sectPr>
      </w:pPr>
    </w:p>
    <w:p w14:paraId="6B07E82B" w14:textId="2B011BB8" w:rsidR="006A794C" w:rsidRDefault="006A794C" w:rsidP="000D6F11">
      <w:pPr>
        <w:pStyle w:val="Fechaportada"/>
      </w:pPr>
    </w:p>
    <w:p w14:paraId="6EC93065" w14:textId="77777777" w:rsidR="006A794C" w:rsidRDefault="006A794C" w:rsidP="006A794C">
      <w:pPr>
        <w:pStyle w:val="ndice"/>
        <w:spacing w:after="120"/>
      </w:pPr>
      <w:r w:rsidRPr="00891D73">
        <w:t>Índice</w:t>
      </w:r>
    </w:p>
    <w:p w14:paraId="1BF6102D" w14:textId="77777777" w:rsidR="006A794C" w:rsidRPr="004740FB" w:rsidRDefault="006A794C" w:rsidP="006A794C">
      <w:pPr>
        <w:pStyle w:val="ndice"/>
        <w:spacing w:before="20"/>
        <w:ind w:right="-156"/>
        <w:jc w:val="right"/>
        <w:rPr>
          <w:b w:val="0"/>
          <w:i/>
          <w:sz w:val="16"/>
          <w:szCs w:val="16"/>
        </w:rPr>
      </w:pPr>
      <w:r w:rsidRPr="004740FB">
        <w:rPr>
          <w:b w:val="0"/>
          <w:i/>
          <w:sz w:val="16"/>
          <w:szCs w:val="16"/>
        </w:rPr>
        <w:t>P</w:t>
      </w:r>
      <w:r>
        <w:rPr>
          <w:b w:val="0"/>
          <w:i/>
          <w:sz w:val="16"/>
          <w:szCs w:val="16"/>
        </w:rPr>
        <w:t>Á</w:t>
      </w:r>
      <w:r w:rsidRPr="004740FB">
        <w:rPr>
          <w:b w:val="0"/>
          <w:i/>
          <w:sz w:val="16"/>
          <w:szCs w:val="16"/>
        </w:rPr>
        <w:t>gina</w:t>
      </w:r>
    </w:p>
    <w:p w14:paraId="4AD1727B" w14:textId="451E0700" w:rsidR="00A72660" w:rsidRDefault="006A794C">
      <w:pPr>
        <w:pStyle w:val="TDC1"/>
        <w:rPr>
          <w:rFonts w:asciiTheme="minorHAnsi" w:eastAsiaTheme="minorEastAsia" w:hAnsiTheme="minorHAnsi" w:cstheme="minorBidi"/>
          <w:smallCaps w:val="0"/>
          <w:sz w:val="22"/>
          <w:szCs w:val="22"/>
        </w:rPr>
      </w:pPr>
      <w:r>
        <w:rPr>
          <w:color w:val="2B579A"/>
          <w:shd w:val="clear" w:color="auto" w:fill="E6E6E6"/>
        </w:rPr>
        <w:fldChar w:fldCharType="begin"/>
      </w:r>
      <w:r>
        <w:instrText xml:space="preserve"> TOC \o "1-3" \h \z \t "atitulo1;1;atitulo2;2" </w:instrText>
      </w:r>
      <w:r>
        <w:rPr>
          <w:color w:val="2B579A"/>
          <w:shd w:val="clear" w:color="auto" w:fill="E6E6E6"/>
        </w:rPr>
        <w:fldChar w:fldCharType="separate"/>
      </w:r>
      <w:hyperlink w:anchor="_Toc187821035" w:history="1">
        <w:r w:rsidR="00A72660" w:rsidRPr="00692AAE">
          <w:rPr>
            <w:rStyle w:val="Hipervnculo"/>
          </w:rPr>
          <w:t>I. Introducción</w:t>
        </w:r>
        <w:r w:rsidR="00A72660">
          <w:rPr>
            <w:webHidden/>
          </w:rPr>
          <w:tab/>
        </w:r>
        <w:r w:rsidR="00A72660">
          <w:rPr>
            <w:webHidden/>
          </w:rPr>
          <w:fldChar w:fldCharType="begin"/>
        </w:r>
        <w:r w:rsidR="00A72660">
          <w:rPr>
            <w:webHidden/>
          </w:rPr>
          <w:instrText xml:space="preserve"> PAGEREF _Toc187821035 \h </w:instrText>
        </w:r>
        <w:r w:rsidR="00A72660">
          <w:rPr>
            <w:webHidden/>
          </w:rPr>
        </w:r>
        <w:r w:rsidR="00A72660">
          <w:rPr>
            <w:webHidden/>
          </w:rPr>
          <w:fldChar w:fldCharType="separate"/>
        </w:r>
        <w:r w:rsidR="00A72660">
          <w:rPr>
            <w:webHidden/>
          </w:rPr>
          <w:t>4</w:t>
        </w:r>
        <w:r w:rsidR="00A72660">
          <w:rPr>
            <w:webHidden/>
          </w:rPr>
          <w:fldChar w:fldCharType="end"/>
        </w:r>
      </w:hyperlink>
    </w:p>
    <w:p w14:paraId="6021C0FB" w14:textId="22CFA4A9" w:rsidR="00A72660" w:rsidRDefault="00A72660">
      <w:pPr>
        <w:pStyle w:val="TDC1"/>
        <w:rPr>
          <w:rFonts w:asciiTheme="minorHAnsi" w:eastAsiaTheme="minorEastAsia" w:hAnsiTheme="minorHAnsi" w:cstheme="minorBidi"/>
          <w:smallCaps w:val="0"/>
          <w:sz w:val="22"/>
          <w:szCs w:val="22"/>
        </w:rPr>
      </w:pPr>
      <w:hyperlink w:anchor="_Toc187821036" w:history="1">
        <w:r w:rsidRPr="00692AAE">
          <w:rPr>
            <w:rStyle w:val="Hipervnculo"/>
          </w:rPr>
          <w:t>II. Objetivos y alcance</w:t>
        </w:r>
        <w:r>
          <w:rPr>
            <w:webHidden/>
          </w:rPr>
          <w:tab/>
        </w:r>
        <w:r>
          <w:rPr>
            <w:webHidden/>
          </w:rPr>
          <w:fldChar w:fldCharType="begin"/>
        </w:r>
        <w:r>
          <w:rPr>
            <w:webHidden/>
          </w:rPr>
          <w:instrText xml:space="preserve"> PAGEREF _Toc187821036 \h </w:instrText>
        </w:r>
        <w:r>
          <w:rPr>
            <w:webHidden/>
          </w:rPr>
        </w:r>
        <w:r>
          <w:rPr>
            <w:webHidden/>
          </w:rPr>
          <w:fldChar w:fldCharType="separate"/>
        </w:r>
        <w:r>
          <w:rPr>
            <w:webHidden/>
          </w:rPr>
          <w:t>5</w:t>
        </w:r>
        <w:r>
          <w:rPr>
            <w:webHidden/>
          </w:rPr>
          <w:fldChar w:fldCharType="end"/>
        </w:r>
      </w:hyperlink>
    </w:p>
    <w:p w14:paraId="09F55765" w14:textId="5C4E3FE8" w:rsidR="00A72660" w:rsidRDefault="00A72660">
      <w:pPr>
        <w:pStyle w:val="TDC1"/>
        <w:rPr>
          <w:rFonts w:asciiTheme="minorHAnsi" w:eastAsiaTheme="minorEastAsia" w:hAnsiTheme="minorHAnsi" w:cstheme="minorBidi"/>
          <w:smallCaps w:val="0"/>
          <w:sz w:val="22"/>
          <w:szCs w:val="22"/>
        </w:rPr>
      </w:pPr>
      <w:hyperlink w:anchor="_Toc187821037" w:history="1">
        <w:r w:rsidRPr="00692AAE">
          <w:rPr>
            <w:rStyle w:val="Hipervnculo"/>
          </w:rPr>
          <w:t>III. Conclusiones y recomendaciones</w:t>
        </w:r>
        <w:r>
          <w:rPr>
            <w:webHidden/>
          </w:rPr>
          <w:tab/>
        </w:r>
        <w:r>
          <w:rPr>
            <w:webHidden/>
          </w:rPr>
          <w:fldChar w:fldCharType="begin"/>
        </w:r>
        <w:r>
          <w:rPr>
            <w:webHidden/>
          </w:rPr>
          <w:instrText xml:space="preserve"> PAGEREF _Toc187821037 \h </w:instrText>
        </w:r>
        <w:r>
          <w:rPr>
            <w:webHidden/>
          </w:rPr>
        </w:r>
        <w:r>
          <w:rPr>
            <w:webHidden/>
          </w:rPr>
          <w:fldChar w:fldCharType="separate"/>
        </w:r>
        <w:r>
          <w:rPr>
            <w:webHidden/>
          </w:rPr>
          <w:t>8</w:t>
        </w:r>
        <w:r>
          <w:rPr>
            <w:webHidden/>
          </w:rPr>
          <w:fldChar w:fldCharType="end"/>
        </w:r>
      </w:hyperlink>
    </w:p>
    <w:p w14:paraId="24267AFC" w14:textId="1FD1D206" w:rsidR="00A72660" w:rsidRDefault="00A72660">
      <w:pPr>
        <w:pStyle w:val="TDC2"/>
        <w:rPr>
          <w:rFonts w:asciiTheme="minorHAnsi" w:eastAsiaTheme="minorEastAsia" w:hAnsiTheme="minorHAnsi" w:cstheme="minorBidi"/>
          <w:noProof/>
          <w:sz w:val="22"/>
          <w:szCs w:val="22"/>
        </w:rPr>
      </w:pPr>
      <w:hyperlink w:anchor="_Toc187821038" w:history="1">
        <w:r w:rsidRPr="00692AAE">
          <w:rPr>
            <w:rStyle w:val="Hipervnculo"/>
            <w:noProof/>
          </w:rPr>
          <w:t>III.1 Análisis del cumplimiento de las obligaciones de las unidades familiares perceptoras, administraciones públicas y SSB</w:t>
        </w:r>
        <w:r>
          <w:rPr>
            <w:noProof/>
            <w:webHidden/>
          </w:rPr>
          <w:tab/>
        </w:r>
        <w:r>
          <w:rPr>
            <w:noProof/>
            <w:webHidden/>
          </w:rPr>
          <w:fldChar w:fldCharType="begin"/>
        </w:r>
        <w:r>
          <w:rPr>
            <w:noProof/>
            <w:webHidden/>
          </w:rPr>
          <w:instrText xml:space="preserve"> PAGEREF _Toc187821038 \h </w:instrText>
        </w:r>
        <w:r>
          <w:rPr>
            <w:noProof/>
            <w:webHidden/>
          </w:rPr>
        </w:r>
        <w:r>
          <w:rPr>
            <w:noProof/>
            <w:webHidden/>
          </w:rPr>
          <w:fldChar w:fldCharType="separate"/>
        </w:r>
        <w:r>
          <w:rPr>
            <w:noProof/>
            <w:webHidden/>
          </w:rPr>
          <w:t>10</w:t>
        </w:r>
        <w:r>
          <w:rPr>
            <w:noProof/>
            <w:webHidden/>
          </w:rPr>
          <w:fldChar w:fldCharType="end"/>
        </w:r>
      </w:hyperlink>
    </w:p>
    <w:p w14:paraId="7348DF59" w14:textId="1A27AFA7" w:rsidR="00A72660" w:rsidRDefault="00A72660">
      <w:pPr>
        <w:pStyle w:val="TDC2"/>
        <w:rPr>
          <w:rFonts w:asciiTheme="minorHAnsi" w:eastAsiaTheme="minorEastAsia" w:hAnsiTheme="minorHAnsi" w:cstheme="minorBidi"/>
          <w:noProof/>
          <w:sz w:val="22"/>
          <w:szCs w:val="22"/>
        </w:rPr>
      </w:pPr>
      <w:hyperlink w:anchor="_Toc187821039" w:history="1">
        <w:r w:rsidRPr="00692AAE">
          <w:rPr>
            <w:rStyle w:val="Hipervnculo"/>
            <w:noProof/>
          </w:rPr>
          <w:t>III.2 Evolución de indicadores de la RG relacionados con el empleo</w:t>
        </w:r>
        <w:r>
          <w:rPr>
            <w:noProof/>
            <w:webHidden/>
          </w:rPr>
          <w:tab/>
        </w:r>
        <w:r>
          <w:rPr>
            <w:noProof/>
            <w:webHidden/>
          </w:rPr>
          <w:fldChar w:fldCharType="begin"/>
        </w:r>
        <w:r>
          <w:rPr>
            <w:noProof/>
            <w:webHidden/>
          </w:rPr>
          <w:instrText xml:space="preserve"> PAGEREF _Toc187821039 \h </w:instrText>
        </w:r>
        <w:r>
          <w:rPr>
            <w:noProof/>
            <w:webHidden/>
          </w:rPr>
        </w:r>
        <w:r>
          <w:rPr>
            <w:noProof/>
            <w:webHidden/>
          </w:rPr>
          <w:fldChar w:fldCharType="separate"/>
        </w:r>
        <w:r>
          <w:rPr>
            <w:noProof/>
            <w:webHidden/>
          </w:rPr>
          <w:t>12</w:t>
        </w:r>
        <w:r>
          <w:rPr>
            <w:noProof/>
            <w:webHidden/>
          </w:rPr>
          <w:fldChar w:fldCharType="end"/>
        </w:r>
      </w:hyperlink>
    </w:p>
    <w:p w14:paraId="4DAD5650" w14:textId="39227FD5" w:rsidR="00A72660" w:rsidRDefault="00A72660">
      <w:pPr>
        <w:pStyle w:val="TDC2"/>
        <w:rPr>
          <w:rFonts w:asciiTheme="minorHAnsi" w:eastAsiaTheme="minorEastAsia" w:hAnsiTheme="minorHAnsi" w:cstheme="minorBidi"/>
          <w:noProof/>
          <w:sz w:val="22"/>
          <w:szCs w:val="22"/>
        </w:rPr>
      </w:pPr>
      <w:hyperlink w:anchor="_Toc187821040" w:history="1">
        <w:r w:rsidRPr="00692AAE">
          <w:rPr>
            <w:rStyle w:val="Hipervnculo"/>
            <w:noProof/>
          </w:rPr>
          <w:t>III.3 Análisis de la gestión de la RG e IMV</w:t>
        </w:r>
        <w:r>
          <w:rPr>
            <w:noProof/>
            <w:webHidden/>
          </w:rPr>
          <w:tab/>
        </w:r>
        <w:r>
          <w:rPr>
            <w:noProof/>
            <w:webHidden/>
          </w:rPr>
          <w:fldChar w:fldCharType="begin"/>
        </w:r>
        <w:r>
          <w:rPr>
            <w:noProof/>
            <w:webHidden/>
          </w:rPr>
          <w:instrText xml:space="preserve"> PAGEREF _Toc187821040 \h </w:instrText>
        </w:r>
        <w:r>
          <w:rPr>
            <w:noProof/>
            <w:webHidden/>
          </w:rPr>
        </w:r>
        <w:r>
          <w:rPr>
            <w:noProof/>
            <w:webHidden/>
          </w:rPr>
          <w:fldChar w:fldCharType="separate"/>
        </w:r>
        <w:r>
          <w:rPr>
            <w:noProof/>
            <w:webHidden/>
          </w:rPr>
          <w:t>14</w:t>
        </w:r>
        <w:r>
          <w:rPr>
            <w:noProof/>
            <w:webHidden/>
          </w:rPr>
          <w:fldChar w:fldCharType="end"/>
        </w:r>
      </w:hyperlink>
    </w:p>
    <w:p w14:paraId="0DD51401" w14:textId="202602BB" w:rsidR="00A72660" w:rsidRDefault="00A72660">
      <w:pPr>
        <w:pStyle w:val="TDC2"/>
        <w:rPr>
          <w:rFonts w:asciiTheme="minorHAnsi" w:eastAsiaTheme="minorEastAsia" w:hAnsiTheme="minorHAnsi" w:cstheme="minorBidi"/>
          <w:noProof/>
          <w:sz w:val="22"/>
          <w:szCs w:val="22"/>
        </w:rPr>
      </w:pPr>
      <w:hyperlink w:anchor="_Toc187821041" w:history="1">
        <w:r w:rsidRPr="00692AAE">
          <w:rPr>
            <w:rStyle w:val="Hipervnculo"/>
            <w:noProof/>
          </w:rPr>
          <w:t>III.4 Recomendaciones</w:t>
        </w:r>
        <w:r>
          <w:rPr>
            <w:noProof/>
            <w:webHidden/>
          </w:rPr>
          <w:tab/>
        </w:r>
        <w:r>
          <w:rPr>
            <w:noProof/>
            <w:webHidden/>
          </w:rPr>
          <w:fldChar w:fldCharType="begin"/>
        </w:r>
        <w:r>
          <w:rPr>
            <w:noProof/>
            <w:webHidden/>
          </w:rPr>
          <w:instrText xml:space="preserve"> PAGEREF _Toc187821041 \h </w:instrText>
        </w:r>
        <w:r>
          <w:rPr>
            <w:noProof/>
            <w:webHidden/>
          </w:rPr>
        </w:r>
        <w:r>
          <w:rPr>
            <w:noProof/>
            <w:webHidden/>
          </w:rPr>
          <w:fldChar w:fldCharType="separate"/>
        </w:r>
        <w:r>
          <w:rPr>
            <w:noProof/>
            <w:webHidden/>
          </w:rPr>
          <w:t>16</w:t>
        </w:r>
        <w:r>
          <w:rPr>
            <w:noProof/>
            <w:webHidden/>
          </w:rPr>
          <w:fldChar w:fldCharType="end"/>
        </w:r>
      </w:hyperlink>
    </w:p>
    <w:p w14:paraId="426D3524" w14:textId="00DF6529" w:rsidR="00A72660" w:rsidRDefault="00A72660">
      <w:pPr>
        <w:pStyle w:val="TDC1"/>
        <w:rPr>
          <w:rFonts w:asciiTheme="minorHAnsi" w:eastAsiaTheme="minorEastAsia" w:hAnsiTheme="minorHAnsi" w:cstheme="minorBidi"/>
          <w:smallCaps w:val="0"/>
          <w:sz w:val="22"/>
          <w:szCs w:val="22"/>
        </w:rPr>
      </w:pPr>
      <w:hyperlink w:anchor="_Toc187821042" w:history="1">
        <w:r w:rsidRPr="00692AAE">
          <w:rPr>
            <w:rStyle w:val="Hipervnculo"/>
          </w:rPr>
          <w:t>IV. Responsabilidad del Departamento de Derechos Sociales, Economía Social y Empleo y los Servicios Sociales de Base</w:t>
        </w:r>
        <w:r>
          <w:rPr>
            <w:webHidden/>
          </w:rPr>
          <w:tab/>
        </w:r>
        <w:r>
          <w:rPr>
            <w:webHidden/>
          </w:rPr>
          <w:fldChar w:fldCharType="begin"/>
        </w:r>
        <w:r>
          <w:rPr>
            <w:webHidden/>
          </w:rPr>
          <w:instrText xml:space="preserve"> PAGEREF _Toc187821042 \h </w:instrText>
        </w:r>
        <w:r>
          <w:rPr>
            <w:webHidden/>
          </w:rPr>
        </w:r>
        <w:r>
          <w:rPr>
            <w:webHidden/>
          </w:rPr>
          <w:fldChar w:fldCharType="separate"/>
        </w:r>
        <w:r>
          <w:rPr>
            <w:webHidden/>
          </w:rPr>
          <w:t>18</w:t>
        </w:r>
        <w:r>
          <w:rPr>
            <w:webHidden/>
          </w:rPr>
          <w:fldChar w:fldCharType="end"/>
        </w:r>
      </w:hyperlink>
    </w:p>
    <w:p w14:paraId="729C8A8E" w14:textId="176A3081" w:rsidR="00A72660" w:rsidRDefault="00A72660">
      <w:pPr>
        <w:pStyle w:val="TDC1"/>
        <w:rPr>
          <w:rFonts w:asciiTheme="minorHAnsi" w:eastAsiaTheme="minorEastAsia" w:hAnsiTheme="minorHAnsi" w:cstheme="minorBidi"/>
          <w:smallCaps w:val="0"/>
          <w:sz w:val="22"/>
          <w:szCs w:val="22"/>
        </w:rPr>
      </w:pPr>
      <w:hyperlink w:anchor="_Toc187821043" w:history="1">
        <w:r w:rsidRPr="00692AAE">
          <w:rPr>
            <w:rStyle w:val="Hipervnculo"/>
          </w:rPr>
          <w:t>V. Responsabilidad de la Cámara de Comptos</w:t>
        </w:r>
        <w:r>
          <w:rPr>
            <w:webHidden/>
          </w:rPr>
          <w:tab/>
        </w:r>
        <w:r>
          <w:rPr>
            <w:webHidden/>
          </w:rPr>
          <w:fldChar w:fldCharType="begin"/>
        </w:r>
        <w:r>
          <w:rPr>
            <w:webHidden/>
          </w:rPr>
          <w:instrText xml:space="preserve"> PAGEREF _Toc187821043 \h </w:instrText>
        </w:r>
        <w:r>
          <w:rPr>
            <w:webHidden/>
          </w:rPr>
        </w:r>
        <w:r>
          <w:rPr>
            <w:webHidden/>
          </w:rPr>
          <w:fldChar w:fldCharType="separate"/>
        </w:r>
        <w:r>
          <w:rPr>
            <w:webHidden/>
          </w:rPr>
          <w:t>19</w:t>
        </w:r>
        <w:r>
          <w:rPr>
            <w:webHidden/>
          </w:rPr>
          <w:fldChar w:fldCharType="end"/>
        </w:r>
      </w:hyperlink>
    </w:p>
    <w:p w14:paraId="7A7C59AD" w14:textId="6E67F42D" w:rsidR="00A72660" w:rsidRDefault="00A72660">
      <w:pPr>
        <w:pStyle w:val="TDC1"/>
        <w:rPr>
          <w:rFonts w:asciiTheme="minorHAnsi" w:eastAsiaTheme="minorEastAsia" w:hAnsiTheme="minorHAnsi" w:cstheme="minorBidi"/>
          <w:smallCaps w:val="0"/>
          <w:sz w:val="22"/>
          <w:szCs w:val="22"/>
        </w:rPr>
      </w:pPr>
      <w:hyperlink w:anchor="_Toc187821044" w:history="1">
        <w:r w:rsidRPr="00692AAE">
          <w:rPr>
            <w:rStyle w:val="Hipervnculo"/>
          </w:rPr>
          <w:t>Apéndice 1. Marco regulador</w:t>
        </w:r>
        <w:r>
          <w:rPr>
            <w:webHidden/>
          </w:rPr>
          <w:tab/>
        </w:r>
        <w:r>
          <w:rPr>
            <w:webHidden/>
          </w:rPr>
          <w:fldChar w:fldCharType="begin"/>
        </w:r>
        <w:r>
          <w:rPr>
            <w:webHidden/>
          </w:rPr>
          <w:instrText xml:space="preserve"> PAGEREF _Toc187821044 \h </w:instrText>
        </w:r>
        <w:r>
          <w:rPr>
            <w:webHidden/>
          </w:rPr>
        </w:r>
        <w:r>
          <w:rPr>
            <w:webHidden/>
          </w:rPr>
          <w:fldChar w:fldCharType="separate"/>
        </w:r>
        <w:r>
          <w:rPr>
            <w:webHidden/>
          </w:rPr>
          <w:t>20</w:t>
        </w:r>
        <w:r>
          <w:rPr>
            <w:webHidden/>
          </w:rPr>
          <w:fldChar w:fldCharType="end"/>
        </w:r>
      </w:hyperlink>
    </w:p>
    <w:p w14:paraId="0F8937DD" w14:textId="109F96FF" w:rsidR="00A72660" w:rsidRDefault="00A72660">
      <w:pPr>
        <w:pStyle w:val="TDC1"/>
        <w:rPr>
          <w:rFonts w:asciiTheme="minorHAnsi" w:eastAsiaTheme="minorEastAsia" w:hAnsiTheme="minorHAnsi" w:cstheme="minorBidi"/>
          <w:smallCaps w:val="0"/>
          <w:sz w:val="22"/>
          <w:szCs w:val="22"/>
        </w:rPr>
      </w:pPr>
      <w:hyperlink w:anchor="_Toc187821045" w:history="1">
        <w:r w:rsidRPr="00692AAE">
          <w:rPr>
            <w:rStyle w:val="Hipervnculo"/>
          </w:rPr>
          <w:t>Apéndice 2. Observaciones y hallazgos adicionales de la fiscalización</w:t>
        </w:r>
        <w:r>
          <w:rPr>
            <w:webHidden/>
          </w:rPr>
          <w:tab/>
        </w:r>
        <w:r>
          <w:rPr>
            <w:webHidden/>
          </w:rPr>
          <w:fldChar w:fldCharType="begin"/>
        </w:r>
        <w:r>
          <w:rPr>
            <w:webHidden/>
          </w:rPr>
          <w:instrText xml:space="preserve"> PAGEREF _Toc187821045 \h </w:instrText>
        </w:r>
        <w:r>
          <w:rPr>
            <w:webHidden/>
          </w:rPr>
        </w:r>
        <w:r>
          <w:rPr>
            <w:webHidden/>
          </w:rPr>
          <w:fldChar w:fldCharType="separate"/>
        </w:r>
        <w:r>
          <w:rPr>
            <w:webHidden/>
          </w:rPr>
          <w:t>21</w:t>
        </w:r>
        <w:r>
          <w:rPr>
            <w:webHidden/>
          </w:rPr>
          <w:fldChar w:fldCharType="end"/>
        </w:r>
      </w:hyperlink>
    </w:p>
    <w:p w14:paraId="1E30D00F" w14:textId="4F2A6F47" w:rsidR="00A72660" w:rsidRDefault="00A72660">
      <w:pPr>
        <w:pStyle w:val="TDC2"/>
        <w:rPr>
          <w:rFonts w:asciiTheme="minorHAnsi" w:eastAsiaTheme="minorEastAsia" w:hAnsiTheme="minorHAnsi" w:cstheme="minorBidi"/>
          <w:noProof/>
          <w:sz w:val="22"/>
          <w:szCs w:val="22"/>
        </w:rPr>
      </w:pPr>
      <w:hyperlink w:anchor="_Toc187821046" w:history="1">
        <w:r w:rsidRPr="00692AAE">
          <w:rPr>
            <w:rStyle w:val="Hipervnculo"/>
            <w:noProof/>
          </w:rPr>
          <w:t>2.1 Aspectos generales de la RG e IMV</w:t>
        </w:r>
        <w:r>
          <w:rPr>
            <w:noProof/>
            <w:webHidden/>
          </w:rPr>
          <w:tab/>
        </w:r>
        <w:r>
          <w:rPr>
            <w:noProof/>
            <w:webHidden/>
          </w:rPr>
          <w:fldChar w:fldCharType="begin"/>
        </w:r>
        <w:r>
          <w:rPr>
            <w:noProof/>
            <w:webHidden/>
          </w:rPr>
          <w:instrText xml:space="preserve"> PAGEREF _Toc187821046 \h </w:instrText>
        </w:r>
        <w:r>
          <w:rPr>
            <w:noProof/>
            <w:webHidden/>
          </w:rPr>
        </w:r>
        <w:r>
          <w:rPr>
            <w:noProof/>
            <w:webHidden/>
          </w:rPr>
          <w:fldChar w:fldCharType="separate"/>
        </w:r>
        <w:r>
          <w:rPr>
            <w:noProof/>
            <w:webHidden/>
          </w:rPr>
          <w:t>22</w:t>
        </w:r>
        <w:r>
          <w:rPr>
            <w:noProof/>
            <w:webHidden/>
          </w:rPr>
          <w:fldChar w:fldCharType="end"/>
        </w:r>
      </w:hyperlink>
    </w:p>
    <w:p w14:paraId="51AAA0D2" w14:textId="658E2A84" w:rsidR="00A72660" w:rsidRDefault="00A72660">
      <w:pPr>
        <w:pStyle w:val="TDC2"/>
        <w:rPr>
          <w:rFonts w:asciiTheme="minorHAnsi" w:eastAsiaTheme="minorEastAsia" w:hAnsiTheme="minorHAnsi" w:cstheme="minorBidi"/>
          <w:noProof/>
          <w:sz w:val="22"/>
          <w:szCs w:val="22"/>
        </w:rPr>
      </w:pPr>
      <w:hyperlink w:anchor="_Toc187821047" w:history="1">
        <w:r w:rsidRPr="00692AAE">
          <w:rPr>
            <w:rStyle w:val="Hipervnculo"/>
            <w:noProof/>
          </w:rPr>
          <w:t>2.2 Revisión del cumplimiento de las obligaciones de las unidades familiares perceptoras, de las administraciones públicas y de los SSB</w:t>
        </w:r>
        <w:r>
          <w:rPr>
            <w:noProof/>
            <w:webHidden/>
          </w:rPr>
          <w:tab/>
        </w:r>
        <w:r>
          <w:rPr>
            <w:noProof/>
            <w:webHidden/>
          </w:rPr>
          <w:fldChar w:fldCharType="begin"/>
        </w:r>
        <w:r>
          <w:rPr>
            <w:noProof/>
            <w:webHidden/>
          </w:rPr>
          <w:instrText xml:space="preserve"> PAGEREF _Toc187821047 \h </w:instrText>
        </w:r>
        <w:r>
          <w:rPr>
            <w:noProof/>
            <w:webHidden/>
          </w:rPr>
        </w:r>
        <w:r>
          <w:rPr>
            <w:noProof/>
            <w:webHidden/>
          </w:rPr>
          <w:fldChar w:fldCharType="separate"/>
        </w:r>
        <w:r>
          <w:rPr>
            <w:noProof/>
            <w:webHidden/>
          </w:rPr>
          <w:t>30</w:t>
        </w:r>
        <w:r>
          <w:rPr>
            <w:noProof/>
            <w:webHidden/>
          </w:rPr>
          <w:fldChar w:fldCharType="end"/>
        </w:r>
      </w:hyperlink>
    </w:p>
    <w:p w14:paraId="19E87C2C" w14:textId="358F059F" w:rsidR="00A72660" w:rsidRDefault="00A72660">
      <w:pPr>
        <w:pStyle w:val="TDC2"/>
        <w:rPr>
          <w:rFonts w:asciiTheme="minorHAnsi" w:eastAsiaTheme="minorEastAsia" w:hAnsiTheme="minorHAnsi" w:cstheme="minorBidi"/>
          <w:noProof/>
          <w:sz w:val="22"/>
          <w:szCs w:val="22"/>
        </w:rPr>
      </w:pPr>
      <w:hyperlink w:anchor="_Toc187821048" w:history="1">
        <w:r w:rsidRPr="00692AAE">
          <w:rPr>
            <w:rStyle w:val="Hipervnculo"/>
            <w:noProof/>
          </w:rPr>
          <w:t>2.3 Indicadores de empleo relacionados con la RG</w:t>
        </w:r>
        <w:r>
          <w:rPr>
            <w:noProof/>
            <w:webHidden/>
          </w:rPr>
          <w:tab/>
        </w:r>
        <w:r>
          <w:rPr>
            <w:noProof/>
            <w:webHidden/>
          </w:rPr>
          <w:fldChar w:fldCharType="begin"/>
        </w:r>
        <w:r>
          <w:rPr>
            <w:noProof/>
            <w:webHidden/>
          </w:rPr>
          <w:instrText xml:space="preserve"> PAGEREF _Toc187821048 \h </w:instrText>
        </w:r>
        <w:r>
          <w:rPr>
            <w:noProof/>
            <w:webHidden/>
          </w:rPr>
        </w:r>
        <w:r>
          <w:rPr>
            <w:noProof/>
            <w:webHidden/>
          </w:rPr>
          <w:fldChar w:fldCharType="separate"/>
        </w:r>
        <w:r>
          <w:rPr>
            <w:noProof/>
            <w:webHidden/>
          </w:rPr>
          <w:t>37</w:t>
        </w:r>
        <w:r>
          <w:rPr>
            <w:noProof/>
            <w:webHidden/>
          </w:rPr>
          <w:fldChar w:fldCharType="end"/>
        </w:r>
      </w:hyperlink>
    </w:p>
    <w:p w14:paraId="06F05C56" w14:textId="4F77FC6B" w:rsidR="00A72660" w:rsidRDefault="00A72660">
      <w:pPr>
        <w:pStyle w:val="TDC2"/>
        <w:rPr>
          <w:rFonts w:asciiTheme="minorHAnsi" w:eastAsiaTheme="minorEastAsia" w:hAnsiTheme="minorHAnsi" w:cstheme="minorBidi"/>
          <w:noProof/>
          <w:sz w:val="22"/>
          <w:szCs w:val="22"/>
        </w:rPr>
      </w:pPr>
      <w:hyperlink w:anchor="_Toc187821049" w:history="1">
        <w:r w:rsidRPr="00692AAE">
          <w:rPr>
            <w:rStyle w:val="Hipervnculo"/>
            <w:noProof/>
          </w:rPr>
          <w:t>2.4. Seguimiento de recomendaciones del informe de esta Cámara de abril de 2019 sobre renta garantizada e inclusión social</w:t>
        </w:r>
        <w:r>
          <w:rPr>
            <w:noProof/>
            <w:webHidden/>
          </w:rPr>
          <w:tab/>
        </w:r>
        <w:r>
          <w:rPr>
            <w:noProof/>
            <w:webHidden/>
          </w:rPr>
          <w:fldChar w:fldCharType="begin"/>
        </w:r>
        <w:r>
          <w:rPr>
            <w:noProof/>
            <w:webHidden/>
          </w:rPr>
          <w:instrText xml:space="preserve"> PAGEREF _Toc187821049 \h </w:instrText>
        </w:r>
        <w:r>
          <w:rPr>
            <w:noProof/>
            <w:webHidden/>
          </w:rPr>
        </w:r>
        <w:r>
          <w:rPr>
            <w:noProof/>
            <w:webHidden/>
          </w:rPr>
          <w:fldChar w:fldCharType="separate"/>
        </w:r>
        <w:r>
          <w:rPr>
            <w:noProof/>
            <w:webHidden/>
          </w:rPr>
          <w:t>39</w:t>
        </w:r>
        <w:r>
          <w:rPr>
            <w:noProof/>
            <w:webHidden/>
          </w:rPr>
          <w:fldChar w:fldCharType="end"/>
        </w:r>
      </w:hyperlink>
    </w:p>
    <w:p w14:paraId="4E12F322" w14:textId="7783DC11" w:rsidR="00A72660" w:rsidRDefault="00A72660">
      <w:pPr>
        <w:pStyle w:val="TDC1"/>
        <w:rPr>
          <w:rFonts w:asciiTheme="minorHAnsi" w:eastAsiaTheme="minorEastAsia" w:hAnsiTheme="minorHAnsi" w:cstheme="minorBidi"/>
          <w:smallCaps w:val="0"/>
          <w:sz w:val="22"/>
          <w:szCs w:val="22"/>
        </w:rPr>
      </w:pPr>
      <w:hyperlink w:anchor="_Toc187821050" w:history="1">
        <w:r w:rsidRPr="00692AAE">
          <w:rPr>
            <w:rStyle w:val="Hipervnculo"/>
          </w:rPr>
          <w:t>Anexo 1. Flujograma del procedimiento de gestión de la RG</w:t>
        </w:r>
        <w:r>
          <w:rPr>
            <w:webHidden/>
          </w:rPr>
          <w:tab/>
        </w:r>
        <w:r>
          <w:rPr>
            <w:webHidden/>
          </w:rPr>
          <w:fldChar w:fldCharType="begin"/>
        </w:r>
        <w:r>
          <w:rPr>
            <w:webHidden/>
          </w:rPr>
          <w:instrText xml:space="preserve"> PAGEREF _Toc187821050 \h </w:instrText>
        </w:r>
        <w:r>
          <w:rPr>
            <w:webHidden/>
          </w:rPr>
        </w:r>
        <w:r>
          <w:rPr>
            <w:webHidden/>
          </w:rPr>
          <w:fldChar w:fldCharType="separate"/>
        </w:r>
        <w:r>
          <w:rPr>
            <w:webHidden/>
          </w:rPr>
          <w:t>42</w:t>
        </w:r>
        <w:r>
          <w:rPr>
            <w:webHidden/>
          </w:rPr>
          <w:fldChar w:fldCharType="end"/>
        </w:r>
      </w:hyperlink>
    </w:p>
    <w:p w14:paraId="4806396A" w14:textId="1C646DBB" w:rsidR="00A72660" w:rsidRDefault="00A72660">
      <w:pPr>
        <w:pStyle w:val="TDC1"/>
        <w:rPr>
          <w:rFonts w:asciiTheme="minorHAnsi" w:eastAsiaTheme="minorEastAsia" w:hAnsiTheme="minorHAnsi" w:cstheme="minorBidi"/>
          <w:smallCaps w:val="0"/>
          <w:sz w:val="22"/>
          <w:szCs w:val="22"/>
        </w:rPr>
      </w:pPr>
      <w:hyperlink w:anchor="_Toc187821051" w:history="1">
        <w:r w:rsidRPr="00692AAE">
          <w:rPr>
            <w:rStyle w:val="Hipervnculo"/>
          </w:rPr>
          <w:t>Anexo 2. Evolución de personas perceptoras de RG y sus características (2019-2023)</w:t>
        </w:r>
        <w:r>
          <w:rPr>
            <w:webHidden/>
          </w:rPr>
          <w:tab/>
        </w:r>
        <w:r>
          <w:rPr>
            <w:webHidden/>
          </w:rPr>
          <w:fldChar w:fldCharType="begin"/>
        </w:r>
        <w:r>
          <w:rPr>
            <w:webHidden/>
          </w:rPr>
          <w:instrText xml:space="preserve"> PAGEREF _Toc187821051 \h </w:instrText>
        </w:r>
        <w:r>
          <w:rPr>
            <w:webHidden/>
          </w:rPr>
        </w:r>
        <w:r>
          <w:rPr>
            <w:webHidden/>
          </w:rPr>
          <w:fldChar w:fldCharType="separate"/>
        </w:r>
        <w:r>
          <w:rPr>
            <w:webHidden/>
          </w:rPr>
          <w:t>43</w:t>
        </w:r>
        <w:r>
          <w:rPr>
            <w:webHidden/>
          </w:rPr>
          <w:fldChar w:fldCharType="end"/>
        </w:r>
      </w:hyperlink>
    </w:p>
    <w:p w14:paraId="31D57E16" w14:textId="13984098" w:rsidR="00A72660" w:rsidRDefault="00A72660">
      <w:pPr>
        <w:pStyle w:val="TDC1"/>
        <w:rPr>
          <w:rFonts w:asciiTheme="minorHAnsi" w:eastAsiaTheme="minorEastAsia" w:hAnsiTheme="minorHAnsi" w:cstheme="minorBidi"/>
          <w:smallCaps w:val="0"/>
          <w:sz w:val="22"/>
          <w:szCs w:val="22"/>
        </w:rPr>
      </w:pPr>
      <w:hyperlink w:anchor="_Toc187821052" w:history="1">
        <w:r w:rsidRPr="00692AAE">
          <w:rPr>
            <w:rStyle w:val="Hipervnculo"/>
            <w:bCs/>
          </w:rPr>
          <w:t>Alegaciones formuladas al informe provisional</w:t>
        </w:r>
        <w:r>
          <w:rPr>
            <w:webHidden/>
          </w:rPr>
          <w:tab/>
        </w:r>
        <w:r>
          <w:rPr>
            <w:webHidden/>
          </w:rPr>
          <w:fldChar w:fldCharType="begin"/>
        </w:r>
        <w:r>
          <w:rPr>
            <w:webHidden/>
          </w:rPr>
          <w:instrText xml:space="preserve"> PAGEREF _Toc187821052 \h </w:instrText>
        </w:r>
        <w:r>
          <w:rPr>
            <w:webHidden/>
          </w:rPr>
        </w:r>
        <w:r>
          <w:rPr>
            <w:webHidden/>
          </w:rPr>
          <w:fldChar w:fldCharType="separate"/>
        </w:r>
        <w:r>
          <w:rPr>
            <w:webHidden/>
          </w:rPr>
          <w:t>46</w:t>
        </w:r>
        <w:r>
          <w:rPr>
            <w:webHidden/>
          </w:rPr>
          <w:fldChar w:fldCharType="end"/>
        </w:r>
      </w:hyperlink>
    </w:p>
    <w:p w14:paraId="6652DF04" w14:textId="5627F2C9" w:rsidR="00A72660" w:rsidRDefault="00A72660">
      <w:pPr>
        <w:pStyle w:val="TDC1"/>
        <w:rPr>
          <w:rFonts w:asciiTheme="minorHAnsi" w:eastAsiaTheme="minorEastAsia" w:hAnsiTheme="minorHAnsi" w:cstheme="minorBidi"/>
          <w:smallCaps w:val="0"/>
          <w:sz w:val="22"/>
          <w:szCs w:val="22"/>
        </w:rPr>
      </w:pPr>
      <w:hyperlink w:anchor="_Toc187821053" w:history="1">
        <w:r w:rsidRPr="00692AAE">
          <w:rPr>
            <w:rStyle w:val="Hipervnculo"/>
          </w:rPr>
          <w:t>Contestación de la Cámara de Comptos a las alegaciones presentadas al informe provisional</w:t>
        </w:r>
        <w:r>
          <w:rPr>
            <w:webHidden/>
          </w:rPr>
          <w:tab/>
        </w:r>
      </w:hyperlink>
    </w:p>
    <w:p w14:paraId="53128261" w14:textId="3E89E2E0" w:rsidR="006A794C" w:rsidRDefault="006A794C" w:rsidP="00977EE6">
      <w:pPr>
        <w:pStyle w:val="TDC1"/>
      </w:pPr>
      <w:r>
        <w:rPr>
          <w:color w:val="2B579A"/>
          <w:shd w:val="clear" w:color="auto" w:fill="E6E6E6"/>
        </w:rPr>
        <w:fldChar w:fldCharType="end"/>
      </w:r>
    </w:p>
    <w:p w14:paraId="62486C05" w14:textId="77777777" w:rsidR="006A794C" w:rsidRDefault="006A794C" w:rsidP="006A794C">
      <w:pPr>
        <w:rPr>
          <w:rFonts w:cs="Arial"/>
          <w:color w:val="FF0000"/>
          <w:spacing w:val="6"/>
          <w:sz w:val="26"/>
        </w:rPr>
        <w:sectPr w:rsidR="006A794C" w:rsidSect="002455A7">
          <w:pgSz w:w="11906" w:h="16838"/>
          <w:pgMar w:top="1702" w:right="1558" w:bottom="1276" w:left="1701" w:header="708" w:footer="0" w:gutter="0"/>
          <w:cols w:space="708"/>
          <w:docGrid w:linePitch="360"/>
        </w:sectPr>
      </w:pPr>
    </w:p>
    <w:p w14:paraId="353E9DC5" w14:textId="77777777" w:rsidR="006A794C" w:rsidRPr="00A87BBC" w:rsidRDefault="006A794C" w:rsidP="00AE1EA8">
      <w:pPr>
        <w:pStyle w:val="atitulo1"/>
      </w:pPr>
      <w:bookmarkStart w:id="0" w:name="_Toc52267351"/>
      <w:r w:rsidRPr="00A87BBC">
        <w:lastRenderedPageBreak/>
        <w:t xml:space="preserve"> </w:t>
      </w:r>
      <w:bookmarkStart w:id="1" w:name="_Toc187821035"/>
      <w:r w:rsidRPr="00A87BBC">
        <w:t>I. Introducción</w:t>
      </w:r>
      <w:bookmarkEnd w:id="0"/>
      <w:bookmarkEnd w:id="1"/>
      <w:r w:rsidRPr="00A87BBC">
        <w:t xml:space="preserve"> </w:t>
      </w:r>
    </w:p>
    <w:p w14:paraId="536CE856" w14:textId="77777777" w:rsidR="00CF4516" w:rsidRDefault="00CF4516" w:rsidP="00A215EC">
      <w:pPr>
        <w:pStyle w:val="texto"/>
        <w:spacing w:after="140"/>
        <w:jc w:val="both"/>
        <w:rPr>
          <w:szCs w:val="26"/>
        </w:rPr>
      </w:pPr>
      <w:r>
        <w:rPr>
          <w:szCs w:val="26"/>
        </w:rPr>
        <w:t>L</w:t>
      </w:r>
      <w:r w:rsidRPr="003A6595">
        <w:rPr>
          <w:szCs w:val="26"/>
        </w:rPr>
        <w:t xml:space="preserve">a Junta de </w:t>
      </w:r>
      <w:r w:rsidRPr="00A215EC">
        <w:rPr>
          <w:lang w:val="es-ES_tradnl"/>
        </w:rPr>
        <w:t>Portavoces</w:t>
      </w:r>
      <w:r w:rsidRPr="003A6595">
        <w:rPr>
          <w:szCs w:val="26"/>
        </w:rPr>
        <w:t xml:space="preserve"> del </w:t>
      </w:r>
      <w:r w:rsidRPr="00A215EC">
        <w:rPr>
          <w:lang w:val="es-ES_tradnl"/>
        </w:rPr>
        <w:t>Parlamento</w:t>
      </w:r>
      <w:r w:rsidRPr="003A6595">
        <w:rPr>
          <w:szCs w:val="26"/>
        </w:rPr>
        <w:t xml:space="preserve"> de Navarra, en su sesión de </w:t>
      </w:r>
      <w:r>
        <w:rPr>
          <w:szCs w:val="26"/>
        </w:rPr>
        <w:t>2 de octubre de 2023,</w:t>
      </w:r>
      <w:r w:rsidRPr="003A6595">
        <w:rPr>
          <w:szCs w:val="26"/>
        </w:rPr>
        <w:t xml:space="preserve"> acordó solicitar a la Cámara</w:t>
      </w:r>
      <w:r w:rsidR="009E5187">
        <w:rPr>
          <w:szCs w:val="26"/>
        </w:rPr>
        <w:t xml:space="preserve"> de Comptos</w:t>
      </w:r>
      <w:r>
        <w:rPr>
          <w:szCs w:val="26"/>
        </w:rPr>
        <w:t>, a petición del grupo parlamentario Partido Popular,</w:t>
      </w:r>
      <w:r w:rsidRPr="003A6595">
        <w:rPr>
          <w:szCs w:val="26"/>
        </w:rPr>
        <w:t xml:space="preserve"> un informe de fiscalización sobre “</w:t>
      </w:r>
      <w:r>
        <w:rPr>
          <w:i/>
          <w:szCs w:val="26"/>
        </w:rPr>
        <w:t>el cumplimiento en términos de eficacia y eficiencia de la Ley Foral 15/2016, de 11 de noviembre, por la que se regulan los derechos a la inclusión social y a la renta garantizada (2019-2023) y del Plan Estratégico de Inclusión Social de Navarra 2018-2021</w:t>
      </w:r>
      <w:r w:rsidRPr="003A6595">
        <w:rPr>
          <w:szCs w:val="26"/>
        </w:rPr>
        <w:t>”.</w:t>
      </w:r>
      <w:r>
        <w:rPr>
          <w:szCs w:val="26"/>
        </w:rPr>
        <w:t xml:space="preserve"> La Cámara de Comptos incluyó esta petición en su programa de fiscalización de 2024.</w:t>
      </w:r>
    </w:p>
    <w:p w14:paraId="4AB5DD86" w14:textId="3F1C9C0E" w:rsidR="00CF4516" w:rsidRDefault="265DEF7F" w:rsidP="00A215EC">
      <w:pPr>
        <w:pStyle w:val="texto"/>
        <w:spacing w:after="140"/>
        <w:jc w:val="both"/>
      </w:pPr>
      <w:r>
        <w:t>Al respecto</w:t>
      </w:r>
      <w:r w:rsidR="64498B49">
        <w:t>,</w:t>
      </w:r>
      <w:r>
        <w:t xml:space="preserve"> </w:t>
      </w:r>
      <w:r w:rsidR="58BCBEC3">
        <w:t xml:space="preserve">señalamos </w:t>
      </w:r>
      <w:r w:rsidR="58BCBEC3" w:rsidRPr="3896A6D9">
        <w:t>que</w:t>
      </w:r>
      <w:r w:rsidR="58BCBEC3">
        <w:t xml:space="preserve"> esta Cámara </w:t>
      </w:r>
      <w:r w:rsidR="58BCBEC3" w:rsidRPr="3896A6D9">
        <w:t>emitió</w:t>
      </w:r>
      <w:r w:rsidR="58BCBEC3">
        <w:t xml:space="preserve"> un informe en abril de 2019 sobre la gestión de la renta garantizada</w:t>
      </w:r>
      <w:r w:rsidR="2762A34A">
        <w:t xml:space="preserve"> (RG en adelante)</w:t>
      </w:r>
      <w:r w:rsidR="58BCBEC3">
        <w:t xml:space="preserve"> e inclusión social correspondiente al periodo 2016-2018</w:t>
      </w:r>
      <w:r w:rsidR="568AF417">
        <w:t xml:space="preserve"> con 12 recomendaciones recogidas en el Apéndice 2.</w:t>
      </w:r>
      <w:r w:rsidR="005B3A3D">
        <w:t>4</w:t>
      </w:r>
      <w:r w:rsidR="568AF417">
        <w:t xml:space="preserve"> de este informe</w:t>
      </w:r>
      <w:r w:rsidR="58BCBEC3">
        <w:t xml:space="preserve">. </w:t>
      </w:r>
    </w:p>
    <w:p w14:paraId="623AEE18" w14:textId="0D00BAD0" w:rsidR="006A794C" w:rsidRDefault="006A794C" w:rsidP="00A215EC">
      <w:pPr>
        <w:pStyle w:val="texto"/>
        <w:spacing w:after="140"/>
        <w:jc w:val="both"/>
        <w:rPr>
          <w:lang w:eastAsia="en-US"/>
        </w:rPr>
      </w:pPr>
      <w:r w:rsidRPr="08A1C990">
        <w:rPr>
          <w:lang w:eastAsia="en-US"/>
        </w:rPr>
        <w:t xml:space="preserve">El trabajo de campo lo </w:t>
      </w:r>
      <w:r w:rsidRPr="00A215EC">
        <w:rPr>
          <w:lang w:val="es-ES_tradnl"/>
        </w:rPr>
        <w:t>realizó</w:t>
      </w:r>
      <w:r w:rsidRPr="08A1C990">
        <w:rPr>
          <w:lang w:eastAsia="en-US"/>
        </w:rPr>
        <w:t xml:space="preserve"> </w:t>
      </w:r>
      <w:r w:rsidR="00CF4516" w:rsidRPr="08A1C990">
        <w:rPr>
          <w:lang w:eastAsia="en-US"/>
        </w:rPr>
        <w:t>en un periodo de tres meses</w:t>
      </w:r>
      <w:r w:rsidRPr="08A1C990">
        <w:rPr>
          <w:lang w:eastAsia="en-US"/>
        </w:rPr>
        <w:t xml:space="preserve"> un equipo formado por dos técnicas de auditoría</w:t>
      </w:r>
      <w:r w:rsidR="00CF4516" w:rsidRPr="08A1C990">
        <w:rPr>
          <w:lang w:eastAsia="en-US"/>
        </w:rPr>
        <w:t>, un técnico en grado medio en sistemas informáticos</w:t>
      </w:r>
      <w:r w:rsidRPr="08A1C990">
        <w:rPr>
          <w:lang w:eastAsia="en-US"/>
        </w:rPr>
        <w:t xml:space="preserve"> y una auditora, con la colaboración de los servicios jurídicos</w:t>
      </w:r>
      <w:r w:rsidR="00CF4516" w:rsidRPr="08A1C990">
        <w:rPr>
          <w:lang w:eastAsia="en-US"/>
        </w:rPr>
        <w:t xml:space="preserve"> y</w:t>
      </w:r>
      <w:r w:rsidRPr="08A1C990">
        <w:rPr>
          <w:lang w:eastAsia="en-US"/>
        </w:rPr>
        <w:t xml:space="preserve"> administrativos de la Cámara.</w:t>
      </w:r>
    </w:p>
    <w:p w14:paraId="4A869E3A" w14:textId="77777777" w:rsidR="00A67B6F" w:rsidRPr="0085077D" w:rsidRDefault="00A67B6F" w:rsidP="00A67B6F">
      <w:pPr>
        <w:pStyle w:val="texto"/>
        <w:spacing w:after="140"/>
        <w:jc w:val="both"/>
        <w:rPr>
          <w:lang w:eastAsia="en-US"/>
        </w:rPr>
      </w:pPr>
      <w:r>
        <w:rPr>
          <w:lang w:eastAsia="en-US"/>
        </w:rPr>
        <w:t>L</w:t>
      </w:r>
      <w:r w:rsidRPr="0085077D">
        <w:rPr>
          <w:lang w:eastAsia="en-US"/>
        </w:rPr>
        <w:t>os resultados de este trabajo se pusieron de manifiesto a</w:t>
      </w:r>
      <w:r>
        <w:rPr>
          <w:lang w:eastAsia="en-US"/>
        </w:rPr>
        <w:t xml:space="preserve"> </w:t>
      </w:r>
      <w:r w:rsidRPr="0085077D">
        <w:rPr>
          <w:lang w:eastAsia="en-US"/>
        </w:rPr>
        <w:t>l</w:t>
      </w:r>
      <w:r>
        <w:rPr>
          <w:lang w:eastAsia="en-US"/>
        </w:rPr>
        <w:t>a</w:t>
      </w:r>
      <w:r w:rsidRPr="0085077D">
        <w:rPr>
          <w:lang w:eastAsia="en-US"/>
        </w:rPr>
        <w:t xml:space="preserve"> consejer</w:t>
      </w:r>
      <w:r>
        <w:rPr>
          <w:lang w:eastAsia="en-US"/>
        </w:rPr>
        <w:t xml:space="preserve">a del Departamento de Derechos Sociales, Economía Social y Empleo del Gobierno de Navarra, </w:t>
      </w:r>
      <w:r w:rsidRPr="0085077D">
        <w:rPr>
          <w:lang w:eastAsia="en-US"/>
        </w:rPr>
        <w:t xml:space="preserve">con el fin de que </w:t>
      </w:r>
      <w:r w:rsidRPr="00D05FA6">
        <w:rPr>
          <w:lang w:eastAsia="en-US"/>
        </w:rPr>
        <w:t>formularan</w:t>
      </w:r>
      <w:r w:rsidRPr="0085077D">
        <w:rPr>
          <w:lang w:eastAsia="en-US"/>
        </w:rPr>
        <w:t xml:space="preserve"> alegaciones</w:t>
      </w:r>
      <w:r>
        <w:rPr>
          <w:lang w:eastAsia="en-US"/>
        </w:rPr>
        <w:t>, d</w:t>
      </w:r>
      <w:r w:rsidRPr="0085077D">
        <w:rPr>
          <w:lang w:eastAsia="en-US"/>
        </w:rPr>
        <w:t>e conformidad con lo previsto en el artíc</w:t>
      </w:r>
      <w:r>
        <w:rPr>
          <w:lang w:eastAsia="en-US"/>
        </w:rPr>
        <w:t>ulo 11 de la Ley Foral 19/1984, de 20 de diciembre, de la Cámara de Comptos de Navarra.</w:t>
      </w:r>
    </w:p>
    <w:p w14:paraId="700B8784" w14:textId="03B281B2" w:rsidR="00A67B6F" w:rsidRPr="00D57F22" w:rsidRDefault="00A67B6F" w:rsidP="00A67B6F">
      <w:pPr>
        <w:pStyle w:val="texto"/>
        <w:spacing w:after="140"/>
        <w:jc w:val="both"/>
        <w:rPr>
          <w:lang w:eastAsia="en-US"/>
        </w:rPr>
      </w:pPr>
      <w:r w:rsidRPr="00D57F22">
        <w:rPr>
          <w:lang w:eastAsia="en-US"/>
        </w:rPr>
        <w:t xml:space="preserve">Finalizado el plazo, </w:t>
      </w:r>
      <w:r w:rsidR="00D57F22" w:rsidRPr="00D57F22">
        <w:rPr>
          <w:lang w:eastAsia="en-US"/>
        </w:rPr>
        <w:t>la gerente</w:t>
      </w:r>
      <w:r w:rsidR="00E50579" w:rsidRPr="00D57F22">
        <w:rPr>
          <w:lang w:eastAsia="en-US"/>
        </w:rPr>
        <w:t xml:space="preserve"> del Servicio Navarro de Empleo-Nafar Lansare y la directora general de Protección Social y Cooperación al Desarrollo</w:t>
      </w:r>
      <w:r w:rsidR="00D57F22" w:rsidRPr="00D57F22">
        <w:rPr>
          <w:lang w:eastAsia="en-US"/>
        </w:rPr>
        <w:t xml:space="preserve"> </w:t>
      </w:r>
      <w:r w:rsidRPr="00D57F22">
        <w:rPr>
          <w:lang w:eastAsia="en-US"/>
        </w:rPr>
        <w:t>ha</w:t>
      </w:r>
      <w:r w:rsidR="00D57F22" w:rsidRPr="00D57F22">
        <w:rPr>
          <w:lang w:eastAsia="en-US"/>
        </w:rPr>
        <w:t>n</w:t>
      </w:r>
      <w:r w:rsidRPr="00D57F22">
        <w:rPr>
          <w:lang w:eastAsia="en-US"/>
        </w:rPr>
        <w:t xml:space="preserve"> presentado </w:t>
      </w:r>
      <w:r w:rsidR="00D57F22">
        <w:rPr>
          <w:lang w:eastAsia="en-US"/>
        </w:rPr>
        <w:t xml:space="preserve">conjuntamente </w:t>
      </w:r>
      <w:r w:rsidRPr="00D57F22">
        <w:rPr>
          <w:lang w:eastAsia="en-US"/>
        </w:rPr>
        <w:t>alegaciones.  Analizadas las mismas</w:t>
      </w:r>
      <w:r w:rsidRPr="00D57F22">
        <w:rPr>
          <w:noProof/>
        </w:rPr>
        <mc:AlternateContent>
          <mc:Choice Requires="wps">
            <w:drawing>
              <wp:anchor distT="0" distB="0" distL="114300" distR="114300" simplePos="0" relativeHeight="251659264" behindDoc="0" locked="0" layoutInCell="1" allowOverlap="1" wp14:anchorId="6EDF34E8" wp14:editId="03FD9707">
                <wp:simplePos x="0" y="0"/>
                <wp:positionH relativeFrom="column">
                  <wp:posOffset>2603500</wp:posOffset>
                </wp:positionH>
                <wp:positionV relativeFrom="paragraph">
                  <wp:posOffset>7532370</wp:posOffset>
                </wp:positionV>
                <wp:extent cx="698500" cy="431800"/>
                <wp:effectExtent l="0" t="0" r="6350" b="635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177E8" id="Rectángulo 7" o:spid="_x0000_s1026" style="position:absolute;margin-left:205pt;margin-top:593.1pt;width:5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" stroked="f"/>
            </w:pict>
          </mc:Fallback>
        </mc:AlternateContent>
      </w:r>
      <w:r w:rsidRPr="00D57F22">
        <w:rPr>
          <w:lang w:eastAsia="en-US"/>
        </w:rPr>
        <w:t>, se incorporan a dicho informe, junto con la respuesta de esta Cámara, que se eleva a definitivo</w:t>
      </w:r>
    </w:p>
    <w:p w14:paraId="0319A68B" w14:textId="6F8E3D82" w:rsidR="00E94F74" w:rsidRDefault="58BCBEC3" w:rsidP="00A215EC">
      <w:pPr>
        <w:pStyle w:val="texto"/>
        <w:spacing w:after="140"/>
        <w:jc w:val="both"/>
        <w:rPr>
          <w:lang w:eastAsia="en-US"/>
        </w:rPr>
      </w:pPr>
      <w:r w:rsidRPr="00D57F22">
        <w:rPr>
          <w:lang w:eastAsia="en-US"/>
        </w:rPr>
        <w:t xml:space="preserve">Agradecemos al personal del Departamento de Derechos Sociales, Economía </w:t>
      </w:r>
      <w:r w:rsidRPr="3896A6D9">
        <w:rPr>
          <w:lang w:eastAsia="en-US"/>
        </w:rPr>
        <w:t>Social y Empleo</w:t>
      </w:r>
      <w:r w:rsidR="2ECA866F" w:rsidRPr="3896A6D9">
        <w:rPr>
          <w:lang w:eastAsia="en-US"/>
        </w:rPr>
        <w:t xml:space="preserve"> (departamento en </w:t>
      </w:r>
      <w:r w:rsidR="2ECA866F" w:rsidRPr="3896A6D9">
        <w:t>adelante</w:t>
      </w:r>
      <w:r w:rsidR="2EF13AA4" w:rsidRPr="3896A6D9">
        <w:rPr>
          <w:lang w:eastAsia="en-US"/>
        </w:rPr>
        <w:t>)</w:t>
      </w:r>
      <w:r w:rsidR="7077870E" w:rsidRPr="3896A6D9">
        <w:rPr>
          <w:lang w:eastAsia="en-US"/>
        </w:rPr>
        <w:t xml:space="preserve"> y en especial al de la Sección de Renta Garantizada y Prestaciones Económicas, a la Secció</w:t>
      </w:r>
      <w:r w:rsidR="6FEE75DC" w:rsidRPr="3896A6D9">
        <w:rPr>
          <w:lang w:eastAsia="en-US"/>
        </w:rPr>
        <w:t xml:space="preserve">n de Seguimiento de Programas, </w:t>
      </w:r>
      <w:r w:rsidR="7077870E" w:rsidRPr="3896A6D9">
        <w:rPr>
          <w:lang w:eastAsia="en-US"/>
        </w:rPr>
        <w:t>al Servicio de Activación Laboral y Coordinación Territorial</w:t>
      </w:r>
      <w:r w:rsidR="00267556" w:rsidRPr="3896A6D9">
        <w:rPr>
          <w:lang w:eastAsia="en-US"/>
        </w:rPr>
        <w:t xml:space="preserve"> del Servicio Navarro de Empleo-Nafar Lansare (SNE en adelante)</w:t>
      </w:r>
      <w:r w:rsidR="00155BBC" w:rsidRPr="3896A6D9">
        <w:rPr>
          <w:lang w:eastAsia="en-US"/>
        </w:rPr>
        <w:t xml:space="preserve"> y</w:t>
      </w:r>
      <w:r w:rsidR="6FEE75DC" w:rsidRPr="3896A6D9">
        <w:rPr>
          <w:lang w:eastAsia="en-US"/>
        </w:rPr>
        <w:t xml:space="preserve"> a los Servicios Sociales de Base</w:t>
      </w:r>
      <w:r w:rsidR="40278897" w:rsidRPr="3896A6D9">
        <w:rPr>
          <w:lang w:eastAsia="en-US"/>
        </w:rPr>
        <w:t xml:space="preserve"> (SSB en adelante)</w:t>
      </w:r>
      <w:r w:rsidR="7077870E" w:rsidRPr="3896A6D9">
        <w:rPr>
          <w:lang w:eastAsia="en-US"/>
        </w:rPr>
        <w:t xml:space="preserve"> </w:t>
      </w:r>
      <w:r w:rsidR="447BF988" w:rsidRPr="3896A6D9">
        <w:rPr>
          <w:lang w:eastAsia="en-US"/>
        </w:rPr>
        <w:t>la colaboración prestada para la realización de este trabajo.</w:t>
      </w:r>
    </w:p>
    <w:p w14:paraId="4101652C" w14:textId="77777777" w:rsidR="006E022F" w:rsidRDefault="006E022F" w:rsidP="00CF4516">
      <w:pPr>
        <w:pStyle w:val="texto"/>
        <w:spacing w:before="120" w:after="120"/>
        <w:jc w:val="both"/>
        <w:rPr>
          <w:lang w:val="es-ES_tradnl" w:eastAsia="en-US"/>
        </w:rPr>
      </w:pPr>
    </w:p>
    <w:p w14:paraId="4B99056E" w14:textId="77777777" w:rsidR="00F45FD7" w:rsidRDefault="00F45FD7">
      <w:pPr>
        <w:spacing w:after="160" w:line="259" w:lineRule="auto"/>
        <w:rPr>
          <w:spacing w:val="6"/>
          <w:sz w:val="26"/>
          <w:lang w:val="es-ES_tradnl" w:eastAsia="en-US"/>
        </w:rPr>
      </w:pPr>
      <w:r>
        <w:rPr>
          <w:lang w:val="es-ES_tradnl" w:eastAsia="en-US"/>
        </w:rPr>
        <w:br w:type="page"/>
      </w:r>
    </w:p>
    <w:p w14:paraId="0866DADF" w14:textId="77777777" w:rsidR="00F60CE4" w:rsidRPr="00AE393A" w:rsidRDefault="00F60CE4" w:rsidP="00F60CE4">
      <w:pPr>
        <w:pStyle w:val="atitulo1"/>
      </w:pPr>
      <w:bookmarkStart w:id="2" w:name="_Toc187821036"/>
      <w:r>
        <w:lastRenderedPageBreak/>
        <w:t>II. Objetivos</w:t>
      </w:r>
      <w:r w:rsidR="00580445">
        <w:t xml:space="preserve"> y</w:t>
      </w:r>
      <w:r>
        <w:t xml:space="preserve"> alcance</w:t>
      </w:r>
      <w:bookmarkEnd w:id="2"/>
      <w:r>
        <w:t xml:space="preserve"> </w:t>
      </w:r>
    </w:p>
    <w:p w14:paraId="46008A66" w14:textId="38FF623D" w:rsidR="00F60CE4" w:rsidRDefault="00F60CE4" w:rsidP="3896A6D9">
      <w:pPr>
        <w:pStyle w:val="texto"/>
        <w:spacing w:after="140"/>
        <w:jc w:val="both"/>
      </w:pPr>
      <w:r>
        <w:t xml:space="preserve">La Cámara de Comptos </w:t>
      </w:r>
      <w:r w:rsidRPr="3896A6D9">
        <w:t>mantuvo</w:t>
      </w:r>
      <w:r>
        <w:t xml:space="preserve"> una reunión con el grupo parlamentario solicitante tras la cual </w:t>
      </w:r>
      <w:r w:rsidR="00CA325C">
        <w:t>concretó</w:t>
      </w:r>
      <w:r>
        <w:t xml:space="preserve"> la petición en los siguientes objetivos</w:t>
      </w:r>
      <w:r w:rsidR="7F794E73">
        <w:t xml:space="preserve"> de auditoría de cumplimiento y operativa</w:t>
      </w:r>
      <w:r>
        <w:t>:</w:t>
      </w:r>
    </w:p>
    <w:p w14:paraId="34F4B814" w14:textId="7F64C75E" w:rsidR="00F60CE4" w:rsidRPr="00F60CE4" w:rsidRDefault="02D411BE"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rsidRPr="3896A6D9">
        <w:t>Analizar</w:t>
      </w:r>
      <w:r>
        <w:t xml:space="preserve"> </w:t>
      </w:r>
      <w:r w:rsidR="2762A34A">
        <w:t xml:space="preserve">el cumplimiento de las obligaciones de las unidades familiares perceptoras de esta prestación </w:t>
      </w:r>
      <w:r w:rsidR="045BB261">
        <w:t>reguladas</w:t>
      </w:r>
      <w:r w:rsidR="04CBE6AB">
        <w:t xml:space="preserve"> en </w:t>
      </w:r>
      <w:r w:rsidR="5A863FB5">
        <w:t>el</w:t>
      </w:r>
      <w:r w:rsidR="04CBE6AB">
        <w:t xml:space="preserve"> </w:t>
      </w:r>
      <w:r w:rsidR="2762A34A">
        <w:t>artículo 18 de la</w:t>
      </w:r>
      <w:r>
        <w:t xml:space="preserve"> Ley Foral 15/2016, de 11 de noviembre, por la que se regulan los derechos a la inclusión social y a la RG</w:t>
      </w:r>
      <w:r w:rsidR="2762A34A">
        <w:t xml:space="preserve"> y son l</w:t>
      </w:r>
      <w:r w:rsidR="04CBE6AB">
        <w:t>o</w:t>
      </w:r>
      <w:r w:rsidR="2762A34A">
        <w:t>s siguientes:</w:t>
      </w:r>
    </w:p>
    <w:p w14:paraId="5133DD17" w14:textId="77777777" w:rsidR="00F60CE4" w:rsidRPr="007055AA" w:rsidRDefault="00F60CE4" w:rsidP="002474B5">
      <w:pPr>
        <w:pStyle w:val="texto"/>
        <w:tabs>
          <w:tab w:val="clear" w:pos="2835"/>
          <w:tab w:val="clear" w:pos="3969"/>
          <w:tab w:val="clear" w:pos="5103"/>
          <w:tab w:val="clear" w:pos="6237"/>
          <w:tab w:val="clear" w:pos="7371"/>
        </w:tabs>
        <w:spacing w:after="80"/>
        <w:ind w:firstLine="0"/>
        <w:jc w:val="both"/>
        <w:rPr>
          <w:i/>
          <w:sz w:val="20"/>
          <w:szCs w:val="20"/>
        </w:rPr>
      </w:pPr>
      <w:r w:rsidRPr="007055AA">
        <w:rPr>
          <w:i/>
          <w:sz w:val="20"/>
          <w:szCs w:val="20"/>
        </w:rPr>
        <w:t>Artículo 18</w:t>
      </w:r>
      <w:r w:rsidR="00AC12BD" w:rsidRPr="007055AA">
        <w:rPr>
          <w:i/>
          <w:sz w:val="20"/>
          <w:szCs w:val="20"/>
        </w:rPr>
        <w:t>. Obligaciones</w:t>
      </w:r>
    </w:p>
    <w:p w14:paraId="7532D6CE" w14:textId="77777777" w:rsidR="00AC12BD" w:rsidRPr="007055AA" w:rsidRDefault="00AC12BD" w:rsidP="002474B5">
      <w:pPr>
        <w:pStyle w:val="texto"/>
        <w:tabs>
          <w:tab w:val="clear" w:pos="2835"/>
          <w:tab w:val="clear" w:pos="3969"/>
          <w:tab w:val="clear" w:pos="5103"/>
          <w:tab w:val="clear" w:pos="6237"/>
          <w:tab w:val="clear" w:pos="7371"/>
        </w:tabs>
        <w:spacing w:after="80"/>
        <w:ind w:firstLine="0"/>
        <w:jc w:val="both"/>
        <w:rPr>
          <w:rFonts w:eastAsia="Calibri"/>
          <w:i/>
          <w:sz w:val="20"/>
          <w:szCs w:val="20"/>
          <w:lang w:val="es-ES_tradnl"/>
        </w:rPr>
      </w:pPr>
      <w:r w:rsidRPr="007055AA">
        <w:rPr>
          <w:rFonts w:eastAsia="Calibri"/>
          <w:i/>
          <w:sz w:val="20"/>
          <w:szCs w:val="20"/>
          <w:lang w:val="es-ES_tradnl"/>
        </w:rPr>
        <w:t xml:space="preserve">Las </w:t>
      </w:r>
      <w:r w:rsidRPr="007055AA">
        <w:rPr>
          <w:i/>
          <w:sz w:val="20"/>
          <w:szCs w:val="20"/>
        </w:rPr>
        <w:t>unidades</w:t>
      </w:r>
      <w:r w:rsidRPr="007055AA">
        <w:rPr>
          <w:rFonts w:eastAsia="Calibri"/>
          <w:i/>
          <w:sz w:val="20"/>
          <w:szCs w:val="20"/>
          <w:lang w:val="es-ES_tradnl"/>
        </w:rPr>
        <w:t xml:space="preserve"> familiares perceptoras de RG deberán cumplir las siguientes obligaciones:</w:t>
      </w:r>
    </w:p>
    <w:p w14:paraId="6B77FAA5" w14:textId="77777777" w:rsidR="00F60CE4" w:rsidRPr="007055AA" w:rsidRDefault="00F60CE4" w:rsidP="002474B5">
      <w:pPr>
        <w:pStyle w:val="Default"/>
        <w:numPr>
          <w:ilvl w:val="1"/>
          <w:numId w:val="5"/>
        </w:numPr>
        <w:tabs>
          <w:tab w:val="left" w:pos="567"/>
        </w:tabs>
        <w:spacing w:after="80"/>
        <w:ind w:left="0" w:firstLine="284"/>
        <w:jc w:val="both"/>
        <w:rPr>
          <w:rFonts w:ascii="Times New Roman" w:eastAsia="Calibri" w:hAnsi="Times New Roman" w:cs="Times New Roman"/>
          <w:i/>
          <w:lang w:val="es-ES_tradnl"/>
        </w:rPr>
      </w:pPr>
      <w:r w:rsidRPr="007055AA">
        <w:rPr>
          <w:rFonts w:ascii="Times New Roman" w:eastAsia="Calibri" w:hAnsi="Times New Roman" w:cs="Times New Roman"/>
          <w:i/>
          <w:lang w:val="es-ES_tradnl"/>
        </w:rPr>
        <w:t xml:space="preserve">Residir de forma efectiva y continuada en Navarra durante todo el periodo de percepción de la prestación. </w:t>
      </w:r>
    </w:p>
    <w:p w14:paraId="65A21931" w14:textId="77777777" w:rsidR="00F60CE4" w:rsidRPr="007055AA" w:rsidRDefault="00F60CE4" w:rsidP="002474B5">
      <w:pPr>
        <w:pStyle w:val="Default"/>
        <w:numPr>
          <w:ilvl w:val="1"/>
          <w:numId w:val="5"/>
        </w:numPr>
        <w:tabs>
          <w:tab w:val="left" w:pos="567"/>
        </w:tabs>
        <w:spacing w:after="80"/>
        <w:ind w:left="0" w:firstLine="284"/>
        <w:jc w:val="both"/>
        <w:rPr>
          <w:rFonts w:ascii="Times New Roman" w:eastAsia="Calibri" w:hAnsi="Times New Roman" w:cs="Times New Roman"/>
          <w:i/>
          <w:lang w:val="es-ES_tradnl"/>
        </w:rPr>
      </w:pPr>
      <w:r w:rsidRPr="007055AA">
        <w:rPr>
          <w:rFonts w:ascii="Times New Roman" w:eastAsia="Calibri" w:hAnsi="Times New Roman" w:cs="Times New Roman"/>
          <w:i/>
          <w:lang w:val="es-ES_tradnl"/>
        </w:rPr>
        <w:t>Solicitar, durante todo el periodo de percepción de la prestación, todo derecho a prestación de contenido económico que pudiera corresponder tanto a la persona solicitante como a cualquiera de los miembros de la unidad familiar.</w:t>
      </w:r>
    </w:p>
    <w:p w14:paraId="2CF6F4D3" w14:textId="77777777" w:rsidR="00F60CE4" w:rsidRPr="006A4C94" w:rsidRDefault="00F60CE4" w:rsidP="002474B5">
      <w:pPr>
        <w:pStyle w:val="Default"/>
        <w:numPr>
          <w:ilvl w:val="1"/>
          <w:numId w:val="5"/>
        </w:numPr>
        <w:tabs>
          <w:tab w:val="left" w:pos="567"/>
        </w:tabs>
        <w:spacing w:after="80"/>
        <w:ind w:left="0" w:firstLine="284"/>
        <w:jc w:val="both"/>
        <w:rPr>
          <w:rFonts w:ascii="Times New Roman" w:eastAsia="Calibri" w:hAnsi="Times New Roman" w:cs="Times New Roman"/>
          <w:i/>
          <w:lang w:val="es-ES_tradnl"/>
        </w:rPr>
      </w:pPr>
      <w:r w:rsidRPr="006A4C94">
        <w:rPr>
          <w:rFonts w:ascii="Times New Roman" w:eastAsia="Calibri" w:hAnsi="Times New Roman" w:cs="Times New Roman"/>
          <w:i/>
          <w:lang w:val="es-ES_tradnl"/>
        </w:rPr>
        <w:t xml:space="preserve">Mantenerse, todas las personas perceptoras en edad laboral, disponibles para las ofertas de empleo adecuado, aceptándolas cuando se produzcan, salvo cuando se trate de personas que, a juicio de los </w:t>
      </w:r>
      <w:r w:rsidRPr="007055AA">
        <w:rPr>
          <w:rFonts w:ascii="Times New Roman" w:eastAsia="Calibri" w:hAnsi="Times New Roman" w:cs="Times New Roman"/>
          <w:i/>
          <w:lang w:val="es-ES_tradnl"/>
        </w:rPr>
        <w:t>servicios</w:t>
      </w:r>
      <w:r w:rsidRPr="006A4C94">
        <w:rPr>
          <w:rFonts w:ascii="Times New Roman" w:eastAsia="Calibri" w:hAnsi="Times New Roman" w:cs="Times New Roman"/>
          <w:i/>
          <w:lang w:val="es-ES_tradnl"/>
        </w:rPr>
        <w:t xml:space="preserve"> sociales de base, no se encuentren en situación de incorporarse al mercado laboral ni a un empleo protegido. Las personas antes referidas deberán estar inscritas como demandantes de empleo en las oficinas del Servicio Navarro de Empleo-Nafar Lansare, salvo aquellas que se encuentren en situación administrativa irregular. </w:t>
      </w:r>
    </w:p>
    <w:p w14:paraId="358F7E8F" w14:textId="77777777" w:rsidR="00F60CE4" w:rsidRPr="006A4C94" w:rsidRDefault="00F60CE4" w:rsidP="002474B5">
      <w:pPr>
        <w:pStyle w:val="Default"/>
        <w:numPr>
          <w:ilvl w:val="1"/>
          <w:numId w:val="5"/>
        </w:numPr>
        <w:tabs>
          <w:tab w:val="left" w:pos="567"/>
        </w:tabs>
        <w:spacing w:after="80"/>
        <w:ind w:left="0" w:firstLine="284"/>
        <w:jc w:val="both"/>
        <w:rPr>
          <w:rFonts w:ascii="Times New Roman" w:eastAsia="Calibri" w:hAnsi="Times New Roman" w:cs="Times New Roman"/>
          <w:i/>
          <w:lang w:val="es-ES_tradnl"/>
        </w:rPr>
      </w:pPr>
      <w:r w:rsidRPr="006A4C94">
        <w:rPr>
          <w:rFonts w:ascii="Times New Roman" w:eastAsia="Calibri" w:hAnsi="Times New Roman" w:cs="Times New Roman"/>
          <w:i/>
          <w:lang w:val="es-ES_tradnl"/>
        </w:rPr>
        <w:t xml:space="preserve">Participar </w:t>
      </w:r>
      <w:r w:rsidRPr="007055AA">
        <w:rPr>
          <w:rFonts w:ascii="Times New Roman" w:eastAsia="Calibri" w:hAnsi="Times New Roman" w:cs="Times New Roman"/>
          <w:i/>
          <w:lang w:val="es-ES_tradnl"/>
        </w:rPr>
        <w:t>en</w:t>
      </w:r>
      <w:r w:rsidRPr="006A4C94">
        <w:rPr>
          <w:rFonts w:ascii="Times New Roman" w:eastAsia="Calibri" w:hAnsi="Times New Roman" w:cs="Times New Roman"/>
          <w:i/>
          <w:lang w:val="es-ES_tradnl"/>
        </w:rPr>
        <w:t xml:space="preserve"> las actividades de inserción socio-laboral que los servicios sociales de base, servicios sociales especializados o servicios de empleo les propongan. </w:t>
      </w:r>
    </w:p>
    <w:p w14:paraId="320F7BC4" w14:textId="77777777" w:rsidR="00F60CE4" w:rsidRPr="006A4C94" w:rsidRDefault="00F60CE4" w:rsidP="002474B5">
      <w:pPr>
        <w:pStyle w:val="Default"/>
        <w:numPr>
          <w:ilvl w:val="1"/>
          <w:numId w:val="5"/>
        </w:numPr>
        <w:tabs>
          <w:tab w:val="left" w:pos="567"/>
        </w:tabs>
        <w:spacing w:after="80"/>
        <w:ind w:left="0" w:firstLine="284"/>
        <w:jc w:val="both"/>
        <w:rPr>
          <w:rFonts w:ascii="Times New Roman" w:eastAsia="Calibri" w:hAnsi="Times New Roman" w:cs="Times New Roman"/>
          <w:i/>
          <w:lang w:val="es-ES_tradnl"/>
        </w:rPr>
      </w:pPr>
      <w:r w:rsidRPr="006A4C94">
        <w:rPr>
          <w:rFonts w:ascii="Times New Roman" w:eastAsia="Calibri" w:hAnsi="Times New Roman" w:cs="Times New Roman"/>
          <w:i/>
          <w:lang w:val="es-ES_tradnl"/>
        </w:rPr>
        <w:t xml:space="preserve">Comunicar cualquier cambio en las circunstancias de la unidad perceptora que se hayan tenido en cuenta para la concesión de la RG en el plazo de quince días hábiles desde que se produzcan tales cambios. </w:t>
      </w:r>
    </w:p>
    <w:p w14:paraId="676C8915" w14:textId="77777777" w:rsidR="00AC50B8" w:rsidRPr="006A4C94" w:rsidRDefault="00F60CE4" w:rsidP="002474B5">
      <w:pPr>
        <w:pStyle w:val="Default"/>
        <w:numPr>
          <w:ilvl w:val="1"/>
          <w:numId w:val="5"/>
        </w:numPr>
        <w:tabs>
          <w:tab w:val="left" w:pos="567"/>
        </w:tabs>
        <w:spacing w:after="80"/>
        <w:ind w:left="0" w:firstLine="284"/>
        <w:jc w:val="both"/>
        <w:rPr>
          <w:rFonts w:ascii="Times New Roman" w:eastAsia="Calibri" w:hAnsi="Times New Roman" w:cs="Times New Roman"/>
          <w:i/>
          <w:lang w:val="es-ES_tradnl"/>
        </w:rPr>
      </w:pPr>
      <w:r w:rsidRPr="007055AA">
        <w:rPr>
          <w:rFonts w:ascii="Times New Roman" w:eastAsia="Calibri" w:hAnsi="Times New Roman" w:cs="Times New Roman"/>
          <w:i/>
          <w:lang w:val="es-ES_tradnl"/>
        </w:rPr>
        <w:t>Comunicar</w:t>
      </w:r>
      <w:r w:rsidRPr="006A4C94">
        <w:rPr>
          <w:rFonts w:ascii="Times New Roman" w:eastAsia="Calibri" w:hAnsi="Times New Roman" w:cs="Times New Roman"/>
          <w:i/>
          <w:lang w:val="es-ES_tradnl"/>
        </w:rPr>
        <w:t xml:space="preserve"> </w:t>
      </w:r>
      <w:r w:rsidRPr="007055AA">
        <w:rPr>
          <w:rFonts w:ascii="Times New Roman" w:eastAsia="Calibri" w:hAnsi="Times New Roman" w:cs="Times New Roman"/>
          <w:i/>
          <w:lang w:val="es-ES_tradnl"/>
        </w:rPr>
        <w:t>cualquier</w:t>
      </w:r>
      <w:r w:rsidRPr="006A4C94">
        <w:rPr>
          <w:rFonts w:ascii="Times New Roman" w:eastAsia="Calibri" w:hAnsi="Times New Roman" w:cs="Times New Roman"/>
          <w:i/>
          <w:lang w:val="es-ES_tradnl"/>
        </w:rPr>
        <w:t xml:space="preserve"> cambio de domicilio habitual de la unidad perceptora en el plazo de quince días hábiles desde que se produzca el hecho. </w:t>
      </w:r>
    </w:p>
    <w:p w14:paraId="2F000FA0" w14:textId="77777777" w:rsidR="00162756" w:rsidRPr="007055AA" w:rsidRDefault="00F60CE4" w:rsidP="002474B5">
      <w:pPr>
        <w:pStyle w:val="Default"/>
        <w:numPr>
          <w:ilvl w:val="1"/>
          <w:numId w:val="5"/>
        </w:numPr>
        <w:tabs>
          <w:tab w:val="left" w:pos="567"/>
        </w:tabs>
        <w:spacing w:after="80"/>
        <w:ind w:left="0" w:firstLine="284"/>
        <w:jc w:val="both"/>
        <w:rPr>
          <w:rFonts w:ascii="Times New Roman" w:eastAsia="Calibri" w:hAnsi="Times New Roman" w:cs="Times New Roman"/>
          <w:i/>
        </w:rPr>
      </w:pPr>
      <w:r w:rsidRPr="007055AA">
        <w:rPr>
          <w:rFonts w:ascii="Times New Roman" w:eastAsia="Calibri" w:hAnsi="Times New Roman" w:cs="Times New Roman"/>
          <w:i/>
          <w:lang w:val="es-ES_tradnl"/>
        </w:rPr>
        <w:t>Reintegrar</w:t>
      </w:r>
      <w:r w:rsidRPr="006A4C94">
        <w:rPr>
          <w:rFonts w:ascii="Times New Roman" w:eastAsia="Calibri" w:hAnsi="Times New Roman" w:cs="Times New Roman"/>
          <w:i/>
          <w:lang w:val="es-ES_tradnl"/>
        </w:rPr>
        <w:t xml:space="preserve"> los abonos</w:t>
      </w:r>
      <w:r w:rsidRPr="007055AA">
        <w:rPr>
          <w:rFonts w:ascii="Times New Roman" w:eastAsia="Calibri" w:hAnsi="Times New Roman" w:cs="Times New Roman"/>
          <w:i/>
        </w:rPr>
        <w:t xml:space="preserve"> percibidos indebidamente. </w:t>
      </w:r>
    </w:p>
    <w:p w14:paraId="1107AC34" w14:textId="39E26C09" w:rsidR="0D8BAB6F" w:rsidRDefault="0D8BAB6F" w:rsidP="008921AE">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rsidRPr="3896A6D9">
        <w:t xml:space="preserve">Revisar el cumplimiento </w:t>
      </w:r>
      <w:r>
        <w:t>de las disposiciones generales referidas al ejercicio conjunto de los derechos a la inclusión social y a la RG contenidas en el artículo 34 de la Ley Foral 15/2016, de 11 de noviembre, por la que se regulan los derechos a la inclusión social y a la RG</w:t>
      </w:r>
      <w:r w:rsidR="6EE30158">
        <w:t xml:space="preserve"> que son:</w:t>
      </w:r>
    </w:p>
    <w:p w14:paraId="39FDBBBC" w14:textId="77777777" w:rsidR="6EE30158" w:rsidRDefault="6EE30158" w:rsidP="002474B5">
      <w:pPr>
        <w:pStyle w:val="texto"/>
        <w:tabs>
          <w:tab w:val="clear" w:pos="2835"/>
          <w:tab w:val="clear" w:pos="3969"/>
          <w:tab w:val="clear" w:pos="5103"/>
          <w:tab w:val="clear" w:pos="6237"/>
          <w:tab w:val="clear" w:pos="7371"/>
        </w:tabs>
        <w:spacing w:after="80"/>
        <w:ind w:firstLine="0"/>
        <w:jc w:val="both"/>
        <w:rPr>
          <w:i/>
          <w:iCs/>
          <w:sz w:val="20"/>
          <w:szCs w:val="20"/>
        </w:rPr>
      </w:pPr>
      <w:r w:rsidRPr="002474B5">
        <w:rPr>
          <w:i/>
          <w:sz w:val="20"/>
          <w:szCs w:val="20"/>
        </w:rPr>
        <w:t>Artículo</w:t>
      </w:r>
      <w:r w:rsidRPr="3896A6D9">
        <w:rPr>
          <w:i/>
          <w:iCs/>
          <w:sz w:val="20"/>
          <w:szCs w:val="20"/>
        </w:rPr>
        <w:t xml:space="preserve"> 34. Disposiciones generales</w:t>
      </w:r>
    </w:p>
    <w:p w14:paraId="4D944324" w14:textId="77777777" w:rsidR="6EE30158" w:rsidRDefault="6EE30158" w:rsidP="00F12DC1">
      <w:pPr>
        <w:pStyle w:val="Default"/>
        <w:numPr>
          <w:ilvl w:val="0"/>
          <w:numId w:val="7"/>
        </w:numPr>
        <w:tabs>
          <w:tab w:val="left" w:pos="567"/>
        </w:tabs>
        <w:spacing w:after="80"/>
        <w:ind w:left="0" w:firstLine="284"/>
        <w:jc w:val="both"/>
        <w:rPr>
          <w:rFonts w:ascii="Times New Roman" w:eastAsia="Calibri" w:hAnsi="Times New Roman" w:cs="Times New Roman"/>
          <w:i/>
          <w:iCs/>
        </w:rPr>
      </w:pPr>
      <w:r w:rsidRPr="3896A6D9">
        <w:rPr>
          <w:rFonts w:ascii="Times New Roman" w:eastAsia="Calibri" w:hAnsi="Times New Roman" w:cs="Times New Roman"/>
          <w:i/>
          <w:iCs/>
        </w:rPr>
        <w:t>A las unidades familiares solicitantes por primera vez de la RG se les informará y orientará para que puedan ejercer el derecho a un proceso personalizado de inclusión social en los términos determinados por esta ley foral desde el primer día de incorporación al programa. En todo caso, las personas solicitantes de RG darán su conformidad a las obligaciones contraídas por la percepción de la misma.</w:t>
      </w:r>
    </w:p>
    <w:p w14:paraId="47065332" w14:textId="77777777" w:rsidR="6EE30158" w:rsidRDefault="6EE30158" w:rsidP="002474B5">
      <w:pPr>
        <w:pStyle w:val="Default"/>
        <w:numPr>
          <w:ilvl w:val="0"/>
          <w:numId w:val="7"/>
        </w:numPr>
        <w:tabs>
          <w:tab w:val="left" w:pos="567"/>
        </w:tabs>
        <w:spacing w:after="80"/>
        <w:ind w:left="0" w:firstLine="284"/>
        <w:jc w:val="both"/>
        <w:rPr>
          <w:rFonts w:ascii="Times New Roman" w:eastAsia="Calibri" w:hAnsi="Times New Roman" w:cs="Times New Roman"/>
          <w:i/>
          <w:iCs/>
        </w:rPr>
      </w:pPr>
      <w:r w:rsidRPr="3896A6D9">
        <w:rPr>
          <w:rFonts w:ascii="Times New Roman" w:eastAsia="Calibri" w:hAnsi="Times New Roman" w:cs="Times New Roman"/>
          <w:i/>
          <w:iCs/>
        </w:rPr>
        <w:t>En el caso de que la unidad familiar haya sido perceptora de RG por un periodo superior a un año ininterrumpido y que no haya habido ninguna modificación de la renta percibida por razón de cambio en su situación económica, con la finalidad de incentivar y promover su inclusión activa, se deberá llevar a cabo el proceso personalizado de inclusión social, por lo que el servicio social de base competente iniciará el procedimiento en los términos fijados en esta ley foral y, por su parte, las personas implicadas quedarán obligadas al cumplimiento del programa personalizado libremente convenido entre ambas partes.</w:t>
      </w:r>
    </w:p>
    <w:p w14:paraId="4E2C2F9A" w14:textId="77777777" w:rsidR="0037345C" w:rsidRDefault="6EE30158" w:rsidP="0037345C">
      <w:pPr>
        <w:pStyle w:val="Default"/>
        <w:numPr>
          <w:ilvl w:val="0"/>
          <w:numId w:val="7"/>
        </w:numPr>
        <w:tabs>
          <w:tab w:val="left" w:pos="567"/>
        </w:tabs>
        <w:spacing w:after="80"/>
        <w:ind w:left="0" w:firstLine="284"/>
        <w:jc w:val="both"/>
        <w:rPr>
          <w:rFonts w:ascii="Times New Roman" w:eastAsia="Calibri" w:hAnsi="Times New Roman" w:cs="Times New Roman"/>
          <w:i/>
          <w:iCs/>
        </w:rPr>
      </w:pPr>
      <w:r w:rsidRPr="3896A6D9">
        <w:rPr>
          <w:rFonts w:ascii="Times New Roman" w:eastAsia="Calibri" w:hAnsi="Times New Roman" w:cs="Times New Roman"/>
          <w:i/>
          <w:iCs/>
        </w:rPr>
        <w:t>En el caso de que la unidad familiar haya sido perceptora de RG por un periodo continuo de al menos 24 meses, la Administración Pública correspondiente deberá ofertarle, en su caso, al menos la posibilidad de participar en un programa de Empleo Social Protegido u otra opción de empleo y/o formación, salvo que, a juicio de los servicios públicos que se establezcan reglamentariamente, sus miembros no se encuentren en condiciones de incorporarse al mismo. Esta oferta deberá constar en el programa personalizado, así como las obligaciones derivadas de ello.</w:t>
      </w:r>
    </w:p>
    <w:p w14:paraId="2BEA94E4" w14:textId="4734C311" w:rsidR="6EE30158" w:rsidRPr="0037345C" w:rsidRDefault="6EE30158" w:rsidP="0037345C">
      <w:pPr>
        <w:pStyle w:val="Default"/>
        <w:numPr>
          <w:ilvl w:val="0"/>
          <w:numId w:val="7"/>
        </w:numPr>
        <w:tabs>
          <w:tab w:val="left" w:pos="567"/>
        </w:tabs>
        <w:spacing w:after="80"/>
        <w:ind w:left="0" w:firstLine="284"/>
        <w:jc w:val="both"/>
        <w:rPr>
          <w:rFonts w:ascii="Times New Roman" w:eastAsia="Calibri" w:hAnsi="Times New Roman" w:cs="Times New Roman"/>
          <w:i/>
          <w:iCs/>
        </w:rPr>
      </w:pPr>
      <w:r w:rsidRPr="0037345C">
        <w:rPr>
          <w:rFonts w:ascii="Times New Roman" w:eastAsia="Calibri" w:hAnsi="Times New Roman" w:cs="Times New Roman"/>
          <w:i/>
          <w:iCs/>
        </w:rPr>
        <w:lastRenderedPageBreak/>
        <w:t>En todos aquellos casos en que, para la tramitación de la solicitud de RG, se precise realizar un co-diagnóstico y programa personalizado de inclusión social, el sistema de seguimiento en él contenido contemplará revisiones de la situación en periodos de al menos seis meses.</w:t>
      </w:r>
    </w:p>
    <w:p w14:paraId="51459CE1" w14:textId="0A09C7BA" w:rsidR="00F60CE4" w:rsidRPr="007055AA" w:rsidRDefault="00F60CE4"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rsidRPr="3896A6D9">
        <w:t xml:space="preserve">Analizar la evolución de </w:t>
      </w:r>
      <w:r w:rsidR="003315C6">
        <w:t>determinados</w:t>
      </w:r>
      <w:r w:rsidRPr="3896A6D9">
        <w:t xml:space="preserve"> indicadores de </w:t>
      </w:r>
      <w:r w:rsidR="00217666" w:rsidRPr="3896A6D9">
        <w:t>la RG</w:t>
      </w:r>
      <w:r w:rsidRPr="3896A6D9">
        <w:t xml:space="preserve"> relacionados con el empleo</w:t>
      </w:r>
      <w:r w:rsidR="003315C6">
        <w:t xml:space="preserve"> señalados en el Apéndice 2.3 de este informe</w:t>
      </w:r>
      <w:r w:rsidRPr="3896A6D9">
        <w:t>.</w:t>
      </w:r>
    </w:p>
    <w:p w14:paraId="169E8131" w14:textId="2B375955" w:rsidR="003E11DE" w:rsidRDefault="00372D9E"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rsidRPr="3896A6D9">
        <w:t>Revisa</w:t>
      </w:r>
      <w:r w:rsidR="00F60CE4" w:rsidRPr="3896A6D9">
        <w:t>r</w:t>
      </w:r>
      <w:r w:rsidR="00F60CE4">
        <w:t xml:space="preserve"> la gestión de la RG y </w:t>
      </w:r>
      <w:r w:rsidR="00C24DE4">
        <w:t>d</w:t>
      </w:r>
      <w:r w:rsidR="006277F7">
        <w:t>el Ingreso Mínimo Vital</w:t>
      </w:r>
      <w:r w:rsidR="000D4FD4">
        <w:t xml:space="preserve"> (IMV</w:t>
      </w:r>
      <w:r w:rsidR="00302AE5">
        <w:t xml:space="preserve"> en adelante).</w:t>
      </w:r>
      <w:r w:rsidR="000D4FD4">
        <w:t xml:space="preserve"> </w:t>
      </w:r>
    </w:p>
    <w:p w14:paraId="5083E665" w14:textId="79FC4A35" w:rsidR="00372D9E" w:rsidRDefault="277D1B53" w:rsidP="00A215EC">
      <w:pPr>
        <w:pStyle w:val="texto"/>
        <w:spacing w:after="140"/>
        <w:jc w:val="both"/>
      </w:pPr>
      <w:r>
        <w:t xml:space="preserve">El IMV es una </w:t>
      </w:r>
      <w:r w:rsidRPr="3896A6D9">
        <w:t>prestación</w:t>
      </w:r>
      <w:r>
        <w:t xml:space="preserve"> no contributiva</w:t>
      </w:r>
      <w:r w:rsidR="15E94A0F">
        <w:t xml:space="preserve"> creada en mayo de 2020</w:t>
      </w:r>
      <w:r w:rsidR="00267556">
        <w:t xml:space="preserve"> para garantizar un nivel mínimo de renta a personas en situación de vulnerabilidad</w:t>
      </w:r>
      <w:r w:rsidR="2B773526">
        <w:t xml:space="preserve">. Fue </w:t>
      </w:r>
      <w:r w:rsidR="15E94A0F">
        <w:t>gestionada</w:t>
      </w:r>
      <w:r>
        <w:t xml:space="preserve"> por el Instituto Nacional de Seguridad Social</w:t>
      </w:r>
      <w:r w:rsidR="00267556">
        <w:t xml:space="preserve"> hasta </w:t>
      </w:r>
      <w:r>
        <w:t>octubre de 2022</w:t>
      </w:r>
      <w:r w:rsidR="2C55B29B">
        <w:t>,</w:t>
      </w:r>
      <w:r>
        <w:t xml:space="preserve"> momento en el que Navarra asumió la competencia de su gestión.</w:t>
      </w:r>
    </w:p>
    <w:p w14:paraId="24ED361E" w14:textId="77777777" w:rsidR="00F60CE4" w:rsidRDefault="00F60CE4"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rPr>
          <w:szCs w:val="26"/>
        </w:rPr>
        <w:t>Realizar</w:t>
      </w:r>
      <w:r w:rsidRPr="000D37A4">
        <w:rPr>
          <w:szCs w:val="26"/>
        </w:rPr>
        <w:t xml:space="preserve"> un seguimiento de la</w:t>
      </w:r>
      <w:r w:rsidR="00F558F7">
        <w:rPr>
          <w:szCs w:val="26"/>
        </w:rPr>
        <w:t>s recomendaciones d</w:t>
      </w:r>
      <w:r w:rsidRPr="000D37A4">
        <w:rPr>
          <w:szCs w:val="26"/>
        </w:rPr>
        <w:t xml:space="preserve">el informe de esta Cámara </w:t>
      </w:r>
      <w:r w:rsidR="00F558F7">
        <w:rPr>
          <w:szCs w:val="26"/>
        </w:rPr>
        <w:t>de</w:t>
      </w:r>
      <w:r w:rsidRPr="000D37A4">
        <w:rPr>
          <w:szCs w:val="26"/>
        </w:rPr>
        <w:t xml:space="preserve"> abril de 2019</w:t>
      </w:r>
      <w:r>
        <w:rPr>
          <w:szCs w:val="26"/>
        </w:rPr>
        <w:t xml:space="preserve"> sobre la RG y la inclusión social </w:t>
      </w:r>
      <w:r w:rsidR="00F558F7">
        <w:rPr>
          <w:szCs w:val="26"/>
        </w:rPr>
        <w:t>referido al</w:t>
      </w:r>
      <w:r>
        <w:rPr>
          <w:szCs w:val="26"/>
        </w:rPr>
        <w:t xml:space="preserve"> periodo 2016-2018.</w:t>
      </w:r>
    </w:p>
    <w:p w14:paraId="1770B782" w14:textId="357344F5" w:rsidR="00F60CE4" w:rsidRDefault="00F60CE4" w:rsidP="3896A6D9">
      <w:pPr>
        <w:pStyle w:val="paragraph"/>
        <w:spacing w:before="120" w:beforeAutospacing="0" w:after="120" w:afterAutospacing="0"/>
        <w:ind w:firstLine="272"/>
        <w:jc w:val="both"/>
        <w:textAlignment w:val="baseline"/>
        <w:rPr>
          <w:rStyle w:val="normaltextrun"/>
          <w:rFonts w:eastAsia="Calibri"/>
          <w:sz w:val="26"/>
          <w:szCs w:val="26"/>
        </w:rPr>
      </w:pPr>
      <w:r w:rsidRPr="3896A6D9">
        <w:rPr>
          <w:rStyle w:val="normaltextrun"/>
          <w:rFonts w:eastAsia="Calibri"/>
          <w:sz w:val="26"/>
          <w:szCs w:val="26"/>
        </w:rPr>
        <w:t xml:space="preserve">El alcance temporal de la fiscalización </w:t>
      </w:r>
      <w:r w:rsidR="00EA1DA0" w:rsidRPr="3896A6D9">
        <w:rPr>
          <w:rStyle w:val="normaltextrun"/>
          <w:rFonts w:eastAsia="Calibri"/>
          <w:sz w:val="26"/>
          <w:szCs w:val="26"/>
        </w:rPr>
        <w:t>ha sido el</w:t>
      </w:r>
      <w:r w:rsidRPr="3896A6D9">
        <w:rPr>
          <w:rStyle w:val="normaltextrun"/>
          <w:rFonts w:eastAsia="Calibri"/>
          <w:sz w:val="26"/>
          <w:szCs w:val="26"/>
        </w:rPr>
        <w:t xml:space="preserve"> periodo 2019-2023</w:t>
      </w:r>
      <w:r w:rsidR="22C6E5BD" w:rsidRPr="3896A6D9">
        <w:rPr>
          <w:rStyle w:val="normaltextrun"/>
          <w:rFonts w:eastAsia="Calibri"/>
          <w:sz w:val="26"/>
          <w:szCs w:val="26"/>
        </w:rPr>
        <w:t xml:space="preserve"> y el alcance objetivo han sido las prestaciones de RG e IMV</w:t>
      </w:r>
      <w:r w:rsidR="512FB15E" w:rsidRPr="3896A6D9">
        <w:rPr>
          <w:rStyle w:val="normaltextrun"/>
          <w:rFonts w:eastAsia="Calibri"/>
          <w:sz w:val="26"/>
          <w:szCs w:val="26"/>
        </w:rPr>
        <w:t>,</w:t>
      </w:r>
      <w:r w:rsidR="22C6E5BD" w:rsidRPr="3896A6D9">
        <w:rPr>
          <w:rStyle w:val="normaltextrun"/>
          <w:rFonts w:eastAsia="Calibri"/>
          <w:sz w:val="26"/>
          <w:szCs w:val="26"/>
        </w:rPr>
        <w:t xml:space="preserve"> habiendo analizado la siguiente información:</w:t>
      </w:r>
    </w:p>
    <w:p w14:paraId="1F3B782E" w14:textId="698B5A9D" w:rsidR="00F60CE4" w:rsidRDefault="2762A34A"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Partidas </w:t>
      </w:r>
      <w:r w:rsidRPr="007055AA">
        <w:rPr>
          <w:szCs w:val="26"/>
          <w:lang w:val="es-ES_tradnl"/>
        </w:rPr>
        <w:t>presupuestarias</w:t>
      </w:r>
      <w:r>
        <w:t xml:space="preserve"> relacionadas con la RG</w:t>
      </w:r>
      <w:r w:rsidR="02D411BE">
        <w:t xml:space="preserve"> y con el IMV desde que Navarra asumió su competencia</w:t>
      </w:r>
      <w:r>
        <w:t>.</w:t>
      </w:r>
    </w:p>
    <w:p w14:paraId="148C9D3A" w14:textId="46B0C90D" w:rsidR="00F60CE4" w:rsidRDefault="1DDFC139"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Base de datos del Sistema Informático de Prestaciones Sociales (S</w:t>
      </w:r>
      <w:r w:rsidR="2762A34A">
        <w:t>IPSS</w:t>
      </w:r>
      <w:r>
        <w:t xml:space="preserve"> en adelante)</w:t>
      </w:r>
      <w:r w:rsidR="5CE89B47">
        <w:t xml:space="preserve"> </w:t>
      </w:r>
      <w:r w:rsidR="5CE89B47" w:rsidRPr="007055AA">
        <w:rPr>
          <w:szCs w:val="26"/>
          <w:lang w:val="es-ES_tradnl"/>
        </w:rPr>
        <w:t>utilizada</w:t>
      </w:r>
      <w:r w:rsidR="5CE89B47">
        <w:t xml:space="preserve"> para gestionar las </w:t>
      </w:r>
      <w:r w:rsidR="6F402FE9">
        <w:t xml:space="preserve">prestaciones objeto de análisis </w:t>
      </w:r>
      <w:r w:rsidR="7AB21A35">
        <w:t>que contiene</w:t>
      </w:r>
      <w:r w:rsidR="2762A34A">
        <w:t xml:space="preserve"> información sobre número de personas perceptoras, características</w:t>
      </w:r>
      <w:r w:rsidR="5CE89B47">
        <w:t xml:space="preserve"> de las mismas (sexo, edad, </w:t>
      </w:r>
      <w:r w:rsidR="30F0251B">
        <w:t>nacionalidad</w:t>
      </w:r>
      <w:r w:rsidR="5CE89B47">
        <w:t>, etc.)</w:t>
      </w:r>
      <w:r w:rsidR="2762A34A">
        <w:t>,</w:t>
      </w:r>
      <w:r w:rsidR="5CE89B47">
        <w:t xml:space="preserve"> fechas de solicitud,</w:t>
      </w:r>
      <w:r w:rsidR="2762A34A">
        <w:t xml:space="preserve"> pagos, reintegros, etc.</w:t>
      </w:r>
    </w:p>
    <w:p w14:paraId="40D78C36" w14:textId="77777777" w:rsidR="00F60CE4" w:rsidRDefault="00F60CE4"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rsidRPr="007055AA">
        <w:rPr>
          <w:szCs w:val="26"/>
          <w:lang w:val="es-ES_tradnl"/>
        </w:rPr>
        <w:t>Aplicación</w:t>
      </w:r>
      <w:r w:rsidRPr="0CCF8A85">
        <w:rPr>
          <w:szCs w:val="26"/>
        </w:rPr>
        <w:t xml:space="preserve"> SIPSS a nivel de usuario para su consulta.</w:t>
      </w:r>
    </w:p>
    <w:p w14:paraId="2EC17D29" w14:textId="071E0188" w:rsidR="006E022F" w:rsidRDefault="001C6523"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rPr>
          <w:szCs w:val="26"/>
        </w:rPr>
        <w:t>Información de la base de datos</w:t>
      </w:r>
      <w:r w:rsidR="006E022F">
        <w:rPr>
          <w:szCs w:val="26"/>
        </w:rPr>
        <w:t xml:space="preserve"> </w:t>
      </w:r>
      <w:r w:rsidR="00354D22">
        <w:rPr>
          <w:szCs w:val="26"/>
        </w:rPr>
        <w:t xml:space="preserve">ORIENTASARE </w:t>
      </w:r>
      <w:r w:rsidR="006E022F">
        <w:rPr>
          <w:szCs w:val="26"/>
        </w:rPr>
        <w:t xml:space="preserve">del Servicio de Activación Laboral y Coordinación Territorial </w:t>
      </w:r>
      <w:r w:rsidR="00267556">
        <w:rPr>
          <w:szCs w:val="26"/>
        </w:rPr>
        <w:t xml:space="preserve">del SNE </w:t>
      </w:r>
      <w:r w:rsidR="006E022F">
        <w:rPr>
          <w:szCs w:val="26"/>
        </w:rPr>
        <w:t xml:space="preserve">sobre la participación y llamamientos de orientación y formación a personas perceptoras de RG. </w:t>
      </w:r>
    </w:p>
    <w:p w14:paraId="4CE17B0A" w14:textId="577E6005" w:rsidR="00354D22" w:rsidRDefault="001C6523" w:rsidP="00354D22">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rPr>
          <w:szCs w:val="26"/>
        </w:rPr>
        <w:t>Información de la b</w:t>
      </w:r>
      <w:r w:rsidR="00354D22">
        <w:rPr>
          <w:szCs w:val="26"/>
        </w:rPr>
        <w:t xml:space="preserve">ase de </w:t>
      </w:r>
      <w:r w:rsidR="00354D22" w:rsidRPr="007055AA">
        <w:rPr>
          <w:szCs w:val="26"/>
          <w:lang w:val="es-ES_tradnl"/>
        </w:rPr>
        <w:t>datos</w:t>
      </w:r>
      <w:r w:rsidR="00354D22">
        <w:rPr>
          <w:szCs w:val="26"/>
        </w:rPr>
        <w:t xml:space="preserve"> SISPE (Sistema de Información del Servicio Público de Empleo Estatal) sobre la participación y llamamientos de orientación y formación a personas perceptoras de RG. </w:t>
      </w:r>
    </w:p>
    <w:p w14:paraId="26368439" w14:textId="2F3E9751" w:rsidR="001C6523" w:rsidRDefault="001C6523" w:rsidP="00354D22">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rPr>
          <w:szCs w:val="26"/>
        </w:rPr>
        <w:t>Información sobre la formación reglada en la que han participado las personas beneficiarias de RG perceptoras por un periodo ininterrumpido de al menos 24 meses</w:t>
      </w:r>
      <w:r w:rsidR="00A800BD">
        <w:rPr>
          <w:szCs w:val="26"/>
        </w:rPr>
        <w:t>,</w:t>
      </w:r>
      <w:r>
        <w:rPr>
          <w:szCs w:val="26"/>
        </w:rPr>
        <w:t xml:space="preserve"> proporcionada por la Dirección General de Educación y Formación Profesional del Departamento de Educación. </w:t>
      </w:r>
    </w:p>
    <w:p w14:paraId="4423D082" w14:textId="08407F64" w:rsidR="00F60CE4" w:rsidRDefault="00F60CE4"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Balances de </w:t>
      </w:r>
      <w:r w:rsidR="00EE2F52">
        <w:t>RG</w:t>
      </w:r>
      <w:r>
        <w:t xml:space="preserve"> elaborados por el Gobierno de Navarra para el periodo objeto de análisis.</w:t>
      </w:r>
    </w:p>
    <w:p w14:paraId="6CC870F8" w14:textId="77777777" w:rsidR="00662D79" w:rsidRDefault="00C24DE4"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rPr>
          <w:szCs w:val="26"/>
        </w:rPr>
        <w:t>Banco de datos de la R</w:t>
      </w:r>
      <w:r w:rsidR="00662D79">
        <w:rPr>
          <w:szCs w:val="26"/>
        </w:rPr>
        <w:t>G del Observatorio de la Realidad Social de Navarra.</w:t>
      </w:r>
    </w:p>
    <w:p w14:paraId="5518E29F" w14:textId="77777777" w:rsidR="00F60CE4" w:rsidRPr="005B00B5" w:rsidRDefault="2762A34A"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rsidRPr="007055AA">
        <w:rPr>
          <w:szCs w:val="26"/>
          <w:lang w:val="es-ES_tradnl"/>
        </w:rPr>
        <w:t>Normativa</w:t>
      </w:r>
      <w:r>
        <w:t xml:space="preserve"> aplicable a la RG y al IMV.</w:t>
      </w:r>
    </w:p>
    <w:p w14:paraId="0F9E5564" w14:textId="680DBD33" w:rsidR="00F60CE4" w:rsidRDefault="2762A34A"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lastRenderedPageBreak/>
        <w:t xml:space="preserve">Informe sobre el </w:t>
      </w:r>
      <w:r w:rsidR="67425DB7">
        <w:t>E</w:t>
      </w:r>
      <w:r>
        <w:t xml:space="preserve">stado de la </w:t>
      </w:r>
      <w:r w:rsidR="2C6B0657">
        <w:t>P</w:t>
      </w:r>
      <w:r>
        <w:t>obreza</w:t>
      </w:r>
      <w:r w:rsidR="54EB8DE6">
        <w:t xml:space="preserve"> y el seguimiento de los indicadores de la Agenda UE 2030</w:t>
      </w:r>
      <w:r>
        <w:t xml:space="preserve"> realizado por la Red Europea de Lucha contra la Pobreza en el Estado Español </w:t>
      </w:r>
      <w:r w:rsidR="00267556">
        <w:t>en 2023</w:t>
      </w:r>
      <w:r>
        <w:t>.</w:t>
      </w:r>
    </w:p>
    <w:p w14:paraId="6477AAA9" w14:textId="56273833" w:rsidR="05B7DBAE" w:rsidRDefault="05B7DBAE" w:rsidP="007055AA">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rsidRPr="3896A6D9">
        <w:t>Información</w:t>
      </w:r>
      <w:r>
        <w:t xml:space="preserve"> sobre contratos laborales facilitados por la Oficina de Análisis y Prospección de Navarra.</w:t>
      </w:r>
    </w:p>
    <w:p w14:paraId="1D8711E4" w14:textId="2294203A" w:rsidR="1F9B88C2" w:rsidRDefault="1F9B88C2"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 xml:space="preserve">Informe de la Cámara de Comptos emitido en abril de 2019 sobre la Renta Garantizada e Inclusión Social (2016-2018). </w:t>
      </w:r>
    </w:p>
    <w:p w14:paraId="1299C43A" w14:textId="77777777" w:rsidR="00237485" w:rsidRDefault="00237485" w:rsidP="5D8B6717">
      <w:pPr>
        <w:spacing w:after="160" w:line="259" w:lineRule="auto"/>
        <w:rPr>
          <w:rFonts w:ascii="Arial" w:hAnsi="Arial"/>
          <w:b/>
          <w:bCs/>
          <w:color w:val="000000"/>
          <w:kern w:val="28"/>
          <w:sz w:val="25"/>
          <w:szCs w:val="25"/>
        </w:rPr>
      </w:pPr>
      <w:r>
        <w:br w:type="page"/>
      </w:r>
    </w:p>
    <w:p w14:paraId="1326DB96" w14:textId="77777777" w:rsidR="00F60CE4" w:rsidRPr="00AE393A" w:rsidRDefault="00F60CE4" w:rsidP="00391E5F">
      <w:pPr>
        <w:pStyle w:val="atitulo1"/>
      </w:pPr>
      <w:bookmarkStart w:id="3" w:name="_Toc187821037"/>
      <w:r>
        <w:lastRenderedPageBreak/>
        <w:t>III. Conclusiones y recomendaciones</w:t>
      </w:r>
      <w:bookmarkEnd w:id="3"/>
    </w:p>
    <w:p w14:paraId="658AC6F8" w14:textId="77777777" w:rsidR="00010E83" w:rsidRDefault="00E03029" w:rsidP="00F60CE4">
      <w:pPr>
        <w:pStyle w:val="texto"/>
        <w:spacing w:after="140"/>
        <w:jc w:val="both"/>
        <w:rPr>
          <w:rFonts w:eastAsiaTheme="minorEastAsia"/>
          <w:szCs w:val="26"/>
        </w:rPr>
      </w:pPr>
      <w:r>
        <w:rPr>
          <w:rFonts w:eastAsiaTheme="minorEastAsia"/>
          <w:szCs w:val="26"/>
        </w:rPr>
        <w:t>La Cámara de Comptos ha fiscalizado la gestión de diversos aspectos relacionados con la RG en el periodo 2019-2023.</w:t>
      </w:r>
    </w:p>
    <w:p w14:paraId="4C04C7AA" w14:textId="055855EC" w:rsidR="00E03029" w:rsidRDefault="000046C2" w:rsidP="5AD4D6FB">
      <w:pPr>
        <w:pStyle w:val="texto"/>
        <w:spacing w:after="140"/>
        <w:jc w:val="both"/>
        <w:rPr>
          <w:rFonts w:eastAsiaTheme="minorEastAsia"/>
        </w:rPr>
      </w:pPr>
      <w:r w:rsidRPr="3896A6D9">
        <w:rPr>
          <w:rFonts w:eastAsiaTheme="minorEastAsia"/>
        </w:rPr>
        <w:t xml:space="preserve">Según la Red Europea de Lucha contra la Pobreza y la Exclusión Social, </w:t>
      </w:r>
      <w:r w:rsidR="00267556" w:rsidRPr="3896A6D9">
        <w:rPr>
          <w:rFonts w:eastAsiaTheme="minorEastAsia"/>
        </w:rPr>
        <w:t xml:space="preserve">en 2023 </w:t>
      </w:r>
      <w:r w:rsidRPr="3896A6D9">
        <w:rPr>
          <w:rFonts w:eastAsiaTheme="minorEastAsia"/>
        </w:rPr>
        <w:t xml:space="preserve">el 17,2 por </w:t>
      </w:r>
      <w:r w:rsidRPr="3896A6D9">
        <w:t>ciento</w:t>
      </w:r>
      <w:r w:rsidRPr="3896A6D9">
        <w:rPr>
          <w:rFonts w:eastAsiaTheme="minorEastAsia"/>
        </w:rPr>
        <w:t xml:space="preserve"> de la población en Navarra se enc</w:t>
      </w:r>
      <w:r w:rsidR="00267556" w:rsidRPr="3896A6D9">
        <w:rPr>
          <w:rFonts w:eastAsiaTheme="minorEastAsia"/>
        </w:rPr>
        <w:t>ontraba</w:t>
      </w:r>
      <w:r w:rsidRPr="3896A6D9">
        <w:rPr>
          <w:rFonts w:eastAsiaTheme="minorEastAsia"/>
        </w:rPr>
        <w:t xml:space="preserve"> en riesgo de pobreza y exclusión social</w:t>
      </w:r>
      <w:r w:rsidR="00832FE5">
        <w:rPr>
          <w:rStyle w:val="Refdenotaalpie"/>
          <w:rFonts w:eastAsiaTheme="minorEastAsia"/>
        </w:rPr>
        <w:footnoteReference w:id="1"/>
      </w:r>
      <w:r w:rsidRPr="3896A6D9">
        <w:rPr>
          <w:rFonts w:eastAsiaTheme="minorEastAsia"/>
        </w:rPr>
        <w:t xml:space="preserve"> y un 7,7 por ciento presenta</w:t>
      </w:r>
      <w:r w:rsidR="00267556" w:rsidRPr="3896A6D9">
        <w:rPr>
          <w:rFonts w:eastAsiaTheme="minorEastAsia"/>
        </w:rPr>
        <w:t>ba</w:t>
      </w:r>
      <w:r w:rsidRPr="3896A6D9">
        <w:rPr>
          <w:rFonts w:eastAsiaTheme="minorEastAsia"/>
        </w:rPr>
        <w:t xml:space="preserve"> una tasa de pobreza severa</w:t>
      </w:r>
      <w:r w:rsidR="00832FE5">
        <w:rPr>
          <w:rStyle w:val="Refdenotaalpie"/>
          <w:rFonts w:eastAsiaTheme="minorEastAsia"/>
        </w:rPr>
        <w:footnoteReference w:id="2"/>
      </w:r>
      <w:r w:rsidRPr="3896A6D9">
        <w:rPr>
          <w:rFonts w:eastAsiaTheme="minorEastAsia"/>
        </w:rPr>
        <w:t xml:space="preserve">. Estos indicadores, si bien sitúan a Navarra en mejor posición que la media española, han empeorado </w:t>
      </w:r>
      <w:r w:rsidR="00EE2F52" w:rsidRPr="3896A6D9">
        <w:rPr>
          <w:rFonts w:eastAsiaTheme="minorEastAsia"/>
        </w:rPr>
        <w:t xml:space="preserve">en el periodo </w:t>
      </w:r>
      <w:r w:rsidRPr="3896A6D9">
        <w:rPr>
          <w:rFonts w:eastAsiaTheme="minorEastAsia"/>
        </w:rPr>
        <w:t>proporcionalmente más que en el resto del Estado.</w:t>
      </w:r>
      <w:r w:rsidR="095B472A" w:rsidRPr="3896A6D9">
        <w:rPr>
          <w:rFonts w:eastAsiaTheme="minorEastAsia"/>
        </w:rPr>
        <w:t xml:space="preserve"> </w:t>
      </w:r>
    </w:p>
    <w:p w14:paraId="488DBB15" w14:textId="77777777" w:rsidR="00AB338D" w:rsidRDefault="3F871C9B" w:rsidP="3896A6D9">
      <w:pPr>
        <w:pStyle w:val="texto"/>
        <w:spacing w:after="240"/>
        <w:jc w:val="both"/>
        <w:rPr>
          <w:rFonts w:eastAsiaTheme="minorEastAsia"/>
        </w:rPr>
      </w:pPr>
      <w:r w:rsidRPr="3896A6D9">
        <w:rPr>
          <w:rFonts w:eastAsiaTheme="minorEastAsia"/>
        </w:rPr>
        <w:t>Para hacer frente a esta problemática, existe, entre otras prestaciones, la RG.</w:t>
      </w:r>
      <w:r w:rsidR="7C69BAD0" w:rsidRPr="3896A6D9">
        <w:rPr>
          <w:rFonts w:eastAsiaTheme="minorEastAsia"/>
        </w:rPr>
        <w:t xml:space="preserve"> </w:t>
      </w:r>
      <w:r w:rsidRPr="3896A6D9">
        <w:rPr>
          <w:rFonts w:eastAsiaTheme="minorEastAsia"/>
        </w:rPr>
        <w:t xml:space="preserve">En 2023, 35.186 personas la percibieron, cifra inferior a la de 2019 en un cuatro por ciento. Algunas de las características de estas personas </w:t>
      </w:r>
      <w:r w:rsidR="4B1CCB34" w:rsidRPr="3896A6D9">
        <w:rPr>
          <w:rFonts w:eastAsiaTheme="minorEastAsia"/>
        </w:rPr>
        <w:t xml:space="preserve">perceptoras </w:t>
      </w:r>
      <w:r w:rsidRPr="3896A6D9">
        <w:rPr>
          <w:rFonts w:eastAsiaTheme="minorEastAsia"/>
        </w:rPr>
        <w:t xml:space="preserve">son las siguientes: </w:t>
      </w:r>
    </w:p>
    <w:p w14:paraId="10AAC8FF" w14:textId="1D3121A2" w:rsidR="00AB338D" w:rsidRDefault="00AB338D" w:rsidP="00471CE4">
      <w:pPr>
        <w:pStyle w:val="texto"/>
        <w:spacing w:after="140"/>
        <w:ind w:firstLine="0"/>
        <w:jc w:val="center"/>
        <w:rPr>
          <w:rFonts w:eastAsiaTheme="minorEastAsia"/>
        </w:rPr>
      </w:pPr>
      <w:r>
        <w:rPr>
          <w:noProof/>
        </w:rPr>
        <w:drawing>
          <wp:inline distT="0" distB="0" distL="0" distR="0" wp14:anchorId="00E4003F" wp14:editId="62322455">
            <wp:extent cx="5299200" cy="3366000"/>
            <wp:effectExtent l="171450" t="171450" r="225425" b="2349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742" t="15635" r="8694" b="4442"/>
                    <a:stretch/>
                  </pic:blipFill>
                  <pic:spPr bwMode="auto">
                    <a:xfrm>
                      <a:off x="0" y="0"/>
                      <a:ext cx="5299200" cy="3366000"/>
                    </a:xfrm>
                    <a:prstGeom prst="rect">
                      <a:avLst/>
                    </a:prstGeom>
                    <a:ln w="127000" cap="sq">
                      <a:solidFill>
                        <a:srgbClr val="000000"/>
                      </a:solidFill>
                      <a:miter lim="800000"/>
                    </a:ln>
                    <a:effectLst>
                      <a:outerShdw blurRad="57150" dist="50800" dir="2700000" algn="tl" rotWithShape="0">
                        <a:srgbClr val="000000">
                          <a:alpha val="40000"/>
                        </a:srgbClr>
                      </a:outerShdw>
                    </a:effectLst>
                    <a:extLst>
                      <a:ext uri="{53640926-AAD7-44D8-BBD7-CCE9431645EC}">
                        <a14:shadowObscured xmlns:a14="http://schemas.microsoft.com/office/drawing/2010/main"/>
                      </a:ext>
                    </a:extLst>
                  </pic:spPr>
                </pic:pic>
              </a:graphicData>
            </a:graphic>
          </wp:inline>
        </w:drawing>
      </w:r>
    </w:p>
    <w:p w14:paraId="6E9A9A28" w14:textId="352B191C" w:rsidR="000046C2" w:rsidRDefault="6756112E" w:rsidP="3896A6D9">
      <w:pPr>
        <w:pStyle w:val="texto"/>
        <w:spacing w:before="240" w:after="140"/>
        <w:jc w:val="both"/>
        <w:rPr>
          <w:rFonts w:eastAsiaTheme="minorEastAsia"/>
        </w:rPr>
      </w:pPr>
      <w:r w:rsidRPr="3896A6D9">
        <w:rPr>
          <w:rFonts w:eastAsiaTheme="minorEastAsia"/>
        </w:rPr>
        <w:t xml:space="preserve">El gasto en </w:t>
      </w:r>
      <w:r w:rsidR="4B1CCB34" w:rsidRPr="3896A6D9">
        <w:rPr>
          <w:rFonts w:eastAsiaTheme="minorEastAsia"/>
        </w:rPr>
        <w:t xml:space="preserve">RG en </w:t>
      </w:r>
      <w:r w:rsidRPr="3896A6D9">
        <w:rPr>
          <w:rFonts w:eastAsiaTheme="minorEastAsia"/>
        </w:rPr>
        <w:t>2023 alcanzó los 103,05 millones</w:t>
      </w:r>
      <w:r w:rsidR="4B1CCB34" w:rsidRPr="3896A6D9">
        <w:rPr>
          <w:rFonts w:eastAsiaTheme="minorEastAsia"/>
        </w:rPr>
        <w:t>,</w:t>
      </w:r>
      <w:r w:rsidRPr="3896A6D9">
        <w:rPr>
          <w:rFonts w:eastAsiaTheme="minorEastAsia"/>
        </w:rPr>
        <w:t xml:space="preserve"> cifra similar a la de 2019.</w:t>
      </w:r>
      <w:r w:rsidR="3780C214" w:rsidRPr="3896A6D9">
        <w:rPr>
          <w:rFonts w:eastAsiaTheme="minorEastAsia"/>
        </w:rPr>
        <w:t xml:space="preserve"> Las cuantías </w:t>
      </w:r>
      <w:r w:rsidR="3780C214" w:rsidRPr="3896A6D9">
        <w:t>máximas</w:t>
      </w:r>
      <w:r w:rsidR="22F55FE1" w:rsidRPr="3896A6D9">
        <w:rPr>
          <w:rFonts w:eastAsiaTheme="minorEastAsia"/>
        </w:rPr>
        <w:t xml:space="preserve"> por tipo de unidad familiar </w:t>
      </w:r>
      <w:r w:rsidR="2999F685" w:rsidRPr="3896A6D9">
        <w:rPr>
          <w:rFonts w:eastAsiaTheme="minorEastAsia"/>
        </w:rPr>
        <w:t xml:space="preserve">se </w:t>
      </w:r>
      <w:r w:rsidR="00EE2F52" w:rsidRPr="3896A6D9">
        <w:rPr>
          <w:rFonts w:eastAsiaTheme="minorEastAsia"/>
        </w:rPr>
        <w:t>incrementaron</w:t>
      </w:r>
      <w:r w:rsidR="3780C214" w:rsidRPr="3896A6D9">
        <w:rPr>
          <w:rFonts w:eastAsiaTheme="minorEastAsia"/>
        </w:rPr>
        <w:t xml:space="preserve"> un 15 por ciento en el periodo analizado. </w:t>
      </w:r>
    </w:p>
    <w:p w14:paraId="63227F79" w14:textId="56EE7712" w:rsidR="002761D8" w:rsidRDefault="002761D8" w:rsidP="3896A6D9">
      <w:pPr>
        <w:pStyle w:val="texto"/>
        <w:spacing w:after="140"/>
        <w:jc w:val="both"/>
        <w:rPr>
          <w:rFonts w:eastAsiaTheme="minorEastAsia"/>
        </w:rPr>
      </w:pPr>
      <w:r w:rsidRPr="3896A6D9">
        <w:rPr>
          <w:rFonts w:eastAsiaTheme="minorEastAsia"/>
        </w:rPr>
        <w:lastRenderedPageBreak/>
        <w:t>En el periodo 2019-2023</w:t>
      </w:r>
      <w:r w:rsidR="00EE2F52" w:rsidRPr="3896A6D9">
        <w:rPr>
          <w:rFonts w:eastAsiaTheme="minorEastAsia"/>
        </w:rPr>
        <w:t>,</w:t>
      </w:r>
      <w:r w:rsidRPr="3896A6D9">
        <w:rPr>
          <w:rFonts w:eastAsiaTheme="minorEastAsia"/>
        </w:rPr>
        <w:t xml:space="preserve"> </w:t>
      </w:r>
      <w:r w:rsidR="003315C6">
        <w:rPr>
          <w:rFonts w:eastAsiaTheme="minorEastAsia"/>
        </w:rPr>
        <w:t xml:space="preserve">tras recibir denuncias previas o tener indicios de incumplimientos, </w:t>
      </w:r>
      <w:r w:rsidRPr="3896A6D9">
        <w:rPr>
          <w:rFonts w:eastAsiaTheme="minorEastAsia"/>
        </w:rPr>
        <w:t xml:space="preserve">la </w:t>
      </w:r>
      <w:r w:rsidR="520C6807" w:rsidRPr="3896A6D9">
        <w:rPr>
          <w:rFonts w:eastAsiaTheme="minorEastAsia"/>
        </w:rPr>
        <w:t>P</w:t>
      </w:r>
      <w:r w:rsidRPr="3896A6D9">
        <w:rPr>
          <w:rFonts w:eastAsiaTheme="minorEastAsia"/>
        </w:rPr>
        <w:t xml:space="preserve">olicía </w:t>
      </w:r>
      <w:r w:rsidR="6810B371" w:rsidRPr="3896A6D9">
        <w:rPr>
          <w:rFonts w:eastAsiaTheme="minorEastAsia"/>
        </w:rPr>
        <w:t>F</w:t>
      </w:r>
      <w:r w:rsidRPr="3896A6D9">
        <w:rPr>
          <w:rFonts w:eastAsiaTheme="minorEastAsia"/>
        </w:rPr>
        <w:t xml:space="preserve">oral llevó a cabo 737 inspecciones sobre unidades </w:t>
      </w:r>
      <w:r w:rsidRPr="3896A6D9">
        <w:t>familiares</w:t>
      </w:r>
      <w:r w:rsidR="46C8BC5B" w:rsidRPr="3896A6D9">
        <w:t>,</w:t>
      </w:r>
      <w:r w:rsidRPr="3896A6D9">
        <w:rPr>
          <w:rFonts w:eastAsiaTheme="minorEastAsia"/>
        </w:rPr>
        <w:t xml:space="preserve"> en el 7</w:t>
      </w:r>
      <w:r w:rsidR="00EE2F52" w:rsidRPr="3896A6D9">
        <w:rPr>
          <w:rFonts w:eastAsiaTheme="minorEastAsia"/>
        </w:rPr>
        <w:t>6</w:t>
      </w:r>
      <w:r w:rsidRPr="3896A6D9">
        <w:rPr>
          <w:rFonts w:eastAsiaTheme="minorEastAsia"/>
        </w:rPr>
        <w:t xml:space="preserve"> por ciento de </w:t>
      </w:r>
      <w:r w:rsidR="00BD34AA">
        <w:rPr>
          <w:rFonts w:eastAsiaTheme="minorEastAsia"/>
        </w:rPr>
        <w:t>cuyos</w:t>
      </w:r>
      <w:r w:rsidRPr="3896A6D9">
        <w:rPr>
          <w:rFonts w:eastAsiaTheme="minorEastAsia"/>
        </w:rPr>
        <w:t xml:space="preserve"> casos</w:t>
      </w:r>
      <w:r w:rsidR="00BD34AA" w:rsidRPr="3896A6D9">
        <w:rPr>
          <w:rFonts w:eastAsiaTheme="minorEastAsia"/>
        </w:rPr>
        <w:t xml:space="preserve"> se observaron incumplimientos</w:t>
      </w:r>
      <w:r w:rsidRPr="3896A6D9">
        <w:rPr>
          <w:rFonts w:eastAsiaTheme="minorEastAsia"/>
        </w:rPr>
        <w:t xml:space="preserve">. </w:t>
      </w:r>
    </w:p>
    <w:p w14:paraId="6BF6E93B" w14:textId="5A6F522D" w:rsidR="009605F4" w:rsidRDefault="77975AE1" w:rsidP="00177BE5">
      <w:pPr>
        <w:pStyle w:val="texto"/>
        <w:spacing w:after="140"/>
        <w:jc w:val="both"/>
      </w:pPr>
      <w:r w:rsidRPr="5D8B6717">
        <w:rPr>
          <w:rFonts w:eastAsiaTheme="minorEastAsia"/>
        </w:rPr>
        <w:t xml:space="preserve">Adicionalmente, para hacer frente a la lucha contra la pobreza y la exclusión social, </w:t>
      </w:r>
      <w:r w:rsidR="0D6D306D" w:rsidRPr="5D8B6717">
        <w:rPr>
          <w:rFonts w:eastAsiaTheme="minorEastAsia"/>
        </w:rPr>
        <w:t>e</w:t>
      </w:r>
      <w:r w:rsidR="6756112E" w:rsidRPr="5D8B6717">
        <w:rPr>
          <w:rFonts w:eastAsiaTheme="minorEastAsia"/>
        </w:rPr>
        <w:t xml:space="preserve">n 2020 </w:t>
      </w:r>
      <w:r w:rsidR="00A800BD">
        <w:rPr>
          <w:rFonts w:eastAsiaTheme="minorEastAsia"/>
        </w:rPr>
        <w:t xml:space="preserve">el Gobierno de España aprobó el Ingreso Mínimo Vital, una prestación no contributiva de la Seguridad Social que garantiza ingresos mínimos a quienes carecen de ellos. Se trata de </w:t>
      </w:r>
      <w:r w:rsidR="00BD34AA">
        <w:rPr>
          <w:rFonts w:eastAsiaTheme="minorEastAsia"/>
        </w:rPr>
        <w:t>una</w:t>
      </w:r>
      <w:r w:rsidR="00BD34AA">
        <w:t xml:space="preserve"> prestación</w:t>
      </w:r>
      <w:r w:rsidR="0CE73309">
        <w:t xml:space="preserve"> compatible con la RG que</w:t>
      </w:r>
      <w:r w:rsidR="6924C801">
        <w:t xml:space="preserve"> debe ser solicitada previamente a </w:t>
      </w:r>
      <w:r w:rsidR="00A800BD">
        <w:t>e</w:t>
      </w:r>
      <w:r w:rsidR="6924C801">
        <w:t>sta</w:t>
      </w:r>
      <w:r w:rsidR="007A726C">
        <w:t xml:space="preserve">. </w:t>
      </w:r>
      <w:r w:rsidR="0CE73309">
        <w:t xml:space="preserve">La finalidad de esta prestación es </w:t>
      </w:r>
      <w:r w:rsidR="00267556">
        <w:t>similar a la</w:t>
      </w:r>
      <w:r w:rsidR="0CE73309">
        <w:t xml:space="preserve"> RG</w:t>
      </w:r>
      <w:r w:rsidR="00A800BD">
        <w:t>,</w:t>
      </w:r>
      <w:r w:rsidR="0CE73309">
        <w:t xml:space="preserve"> </w:t>
      </w:r>
      <w:r w:rsidR="00267556">
        <w:t>si bien</w:t>
      </w:r>
      <w:r w:rsidR="0CE73309">
        <w:t xml:space="preserve"> representa un nivel mínimo homogéneo de protección en todo el Estado</w:t>
      </w:r>
      <w:r w:rsidR="4B1CCB34">
        <w:t xml:space="preserve">. </w:t>
      </w:r>
    </w:p>
    <w:p w14:paraId="7125195C" w14:textId="546C7959" w:rsidR="00EB2E85" w:rsidRDefault="4B1CCB34" w:rsidP="00177BE5">
      <w:pPr>
        <w:pStyle w:val="texto"/>
        <w:spacing w:after="140"/>
        <w:jc w:val="both"/>
      </w:pPr>
      <w:r>
        <w:t xml:space="preserve">Los requisitos para percibir el IMV difieren de los exigidos para la RG, por lo que pueden existir </w:t>
      </w:r>
      <w:r w:rsidRPr="3896A6D9">
        <w:t>casos</w:t>
      </w:r>
      <w:r>
        <w:t xml:space="preserve"> en los que solo se perciba una de ellas y otros</w:t>
      </w:r>
      <w:r w:rsidR="77802E44">
        <w:t>,</w:t>
      </w:r>
      <w:r>
        <w:t xml:space="preserve"> en los que se tenga derecho a ambas por un importe que no debe superar la cuantía máxima establecida en la normativa</w:t>
      </w:r>
      <w:r w:rsidR="00466EF9">
        <w:rPr>
          <w:rStyle w:val="Refdenotaalpie"/>
        </w:rPr>
        <w:footnoteReference w:id="3"/>
      </w:r>
      <w:r>
        <w:t>.</w:t>
      </w:r>
      <w:r w:rsidR="0DC0971C">
        <w:t xml:space="preserve"> </w:t>
      </w:r>
    </w:p>
    <w:p w14:paraId="5C9B77C0" w14:textId="43235544" w:rsidR="0092279E" w:rsidRDefault="007A726C" w:rsidP="00A215EC">
      <w:pPr>
        <w:pStyle w:val="texto"/>
        <w:spacing w:after="140"/>
        <w:jc w:val="both"/>
      </w:pPr>
      <w:r>
        <w:t>Fue gestionad</w:t>
      </w:r>
      <w:r w:rsidR="273A457B">
        <w:t>o</w:t>
      </w:r>
      <w:r>
        <w:t xml:space="preserve"> por el Instituto Nacional de la Seguridad Social hasta octubre de 2022</w:t>
      </w:r>
      <w:r w:rsidR="00074BC5">
        <w:t>,</w:t>
      </w:r>
      <w:r>
        <w:t xml:space="preserve"> </w:t>
      </w:r>
      <w:r w:rsidRPr="3896A6D9">
        <w:t>momento</w:t>
      </w:r>
      <w:r>
        <w:t xml:space="preserve"> en el que </w:t>
      </w:r>
      <w:r w:rsidR="4C26C1DF">
        <w:t xml:space="preserve">Navarra asumió </w:t>
      </w:r>
      <w:r>
        <w:t xml:space="preserve">esta </w:t>
      </w:r>
      <w:r w:rsidR="4C26C1DF">
        <w:t>competencia</w:t>
      </w:r>
      <w:r>
        <w:t xml:space="preserve">. Desde ese momento hasta la fecha de redacción de este informe, </w:t>
      </w:r>
      <w:r w:rsidR="00BE4372">
        <w:t>18.236</w:t>
      </w:r>
      <w:r w:rsidR="5EEB4B6C">
        <w:t xml:space="preserve"> </w:t>
      </w:r>
      <w:r w:rsidR="4C26C1DF">
        <w:t>personas</w:t>
      </w:r>
      <w:r w:rsidR="173A8EDB">
        <w:t xml:space="preserve"> lo han percibido</w:t>
      </w:r>
      <w:r w:rsidR="20805CDB">
        <w:t>,</w:t>
      </w:r>
      <w:r w:rsidR="173A8EDB">
        <w:t xml:space="preserve"> dando lugar a </w:t>
      </w:r>
      <w:r w:rsidR="4C26C1DF">
        <w:t xml:space="preserve">un gasto presupuestario de </w:t>
      </w:r>
      <w:r w:rsidR="2AB545A3">
        <w:t>69,55 millones.</w:t>
      </w:r>
    </w:p>
    <w:p w14:paraId="202C7A64" w14:textId="3F03013D" w:rsidR="42ECAFB2" w:rsidRDefault="42ECAFB2" w:rsidP="00A215EC">
      <w:pPr>
        <w:pStyle w:val="texto"/>
        <w:spacing w:after="140"/>
        <w:jc w:val="both"/>
      </w:pPr>
      <w:r>
        <w:t xml:space="preserve">En 2023, </w:t>
      </w:r>
      <w:r w:rsidR="35068DC8">
        <w:t xml:space="preserve">el 28 por </w:t>
      </w:r>
      <w:r w:rsidR="35068DC8" w:rsidRPr="00A215EC">
        <w:rPr>
          <w:lang w:val="es-ES_tradnl"/>
        </w:rPr>
        <w:t>ciento</w:t>
      </w:r>
      <w:r w:rsidR="35068DC8">
        <w:t xml:space="preserve"> de las personas beneficiarias de RG también percibieron IMV. </w:t>
      </w:r>
    </w:p>
    <w:p w14:paraId="63A2BE1C" w14:textId="08D0B641" w:rsidR="00E931AC" w:rsidRDefault="2AB545A3" w:rsidP="00A215EC">
      <w:pPr>
        <w:pStyle w:val="texto"/>
        <w:spacing w:after="140"/>
        <w:jc w:val="both"/>
      </w:pPr>
      <w:r>
        <w:t>A continuación</w:t>
      </w:r>
      <w:r w:rsidR="75DC7426">
        <w:t>,</w:t>
      </w:r>
      <w:r>
        <w:t xml:space="preserve"> </w:t>
      </w:r>
      <w:r w:rsidRPr="3896A6D9">
        <w:t>detallamos</w:t>
      </w:r>
      <w:r>
        <w:t xml:space="preserve"> las conclusiones alcanzadas para cada </w:t>
      </w:r>
      <w:r w:rsidR="19049C32">
        <w:t>uno de los objetivos de nuestra fiscalización</w:t>
      </w:r>
      <w:r>
        <w:t>.</w:t>
      </w:r>
    </w:p>
    <w:p w14:paraId="0D03F707" w14:textId="77777777" w:rsidR="00C13231" w:rsidRDefault="00C13231">
      <w:pPr>
        <w:spacing w:after="160" w:line="259" w:lineRule="auto"/>
        <w:rPr>
          <w:rFonts w:ascii="Arial" w:hAnsi="Arial"/>
          <w:bCs/>
          <w:iCs/>
          <w:color w:val="000000"/>
          <w:spacing w:val="10"/>
          <w:kern w:val="28"/>
          <w:sz w:val="25"/>
          <w:szCs w:val="26"/>
        </w:rPr>
      </w:pPr>
      <w:bookmarkStart w:id="4" w:name="_Toc134608732"/>
      <w:bookmarkStart w:id="5" w:name="_Toc136885514"/>
      <w:bookmarkStart w:id="6" w:name="_Toc176260498"/>
      <w:r>
        <w:br w:type="page"/>
      </w:r>
    </w:p>
    <w:p w14:paraId="22329602" w14:textId="6DC1AB00" w:rsidR="00824B5F" w:rsidRDefault="00824B5F" w:rsidP="00D479DA">
      <w:pPr>
        <w:pStyle w:val="atitulo2"/>
        <w:spacing w:before="240" w:after="120"/>
        <w:jc w:val="both"/>
      </w:pPr>
      <w:bookmarkStart w:id="7" w:name="_Toc187821038"/>
      <w:r>
        <w:lastRenderedPageBreak/>
        <w:t xml:space="preserve">III.1 </w:t>
      </w:r>
      <w:bookmarkEnd w:id="4"/>
      <w:bookmarkEnd w:id="5"/>
      <w:bookmarkEnd w:id="6"/>
      <w:r w:rsidR="00D02A3D">
        <w:t xml:space="preserve">Análisis del </w:t>
      </w:r>
      <w:r>
        <w:t>cumplimiento</w:t>
      </w:r>
      <w:r w:rsidR="00787473">
        <w:t xml:space="preserve"> </w:t>
      </w:r>
      <w:r w:rsidR="00723A0D">
        <w:t xml:space="preserve">de las obligaciones de las unidades familiares perceptoras, </w:t>
      </w:r>
      <w:r w:rsidR="00832FE5">
        <w:t>administraciones públicas</w:t>
      </w:r>
      <w:r w:rsidR="00723A0D">
        <w:t xml:space="preserve"> y </w:t>
      </w:r>
      <w:r w:rsidR="002929EB">
        <w:t>SSB</w:t>
      </w:r>
      <w:bookmarkEnd w:id="7"/>
    </w:p>
    <w:p w14:paraId="4204B5A5" w14:textId="2C75D0C5" w:rsidR="00722A22" w:rsidRPr="00391E5F" w:rsidRDefault="00D8689A" w:rsidP="00466EF9">
      <w:pPr>
        <w:pStyle w:val="atitulo3"/>
        <w:spacing w:before="240"/>
        <w:jc w:val="both"/>
      </w:pPr>
      <w:r>
        <w:t xml:space="preserve">III.1.1 Cumplimiento de obligaciones </w:t>
      </w:r>
      <w:r w:rsidR="00466EF9">
        <w:t>de las unidades familiares perce</w:t>
      </w:r>
      <w:r w:rsidR="41485A27">
        <w:t xml:space="preserve">ptoras </w:t>
      </w:r>
      <w:r w:rsidR="00723A0D">
        <w:t xml:space="preserve">establecidas en el </w:t>
      </w:r>
      <w:r>
        <w:t>art</w:t>
      </w:r>
      <w:r w:rsidR="00723A0D">
        <w:t>ículo</w:t>
      </w:r>
      <w:r>
        <w:t xml:space="preserve"> 18</w:t>
      </w:r>
      <w:r w:rsidR="00580445">
        <w:t xml:space="preserve"> </w:t>
      </w:r>
      <w:r w:rsidR="608F3760">
        <w:t xml:space="preserve">de la Ley Foral 15/2016 </w:t>
      </w:r>
    </w:p>
    <w:p w14:paraId="249B4C2C" w14:textId="41F117B7" w:rsidR="00162756" w:rsidRDefault="00162756" w:rsidP="00F9751D">
      <w:pPr>
        <w:pStyle w:val="texto"/>
        <w:spacing w:after="240"/>
        <w:jc w:val="both"/>
      </w:pPr>
      <w:r>
        <w:t xml:space="preserve">El cuadro siguiente resume </w:t>
      </w:r>
      <w:r w:rsidRPr="3896A6D9">
        <w:t>el</w:t>
      </w:r>
      <w:r>
        <w:t xml:space="preserve"> análisis de esta Cámara sobre el cumplimiento de las obligaciones de las unidades familiares perceptoras de RG </w:t>
      </w:r>
      <w:r w:rsidR="005F65D1">
        <w:t xml:space="preserve">durante el periodo de percepción de la prestación </w:t>
      </w:r>
      <w:r w:rsidR="00EE2F52">
        <w:t>tras la concesión de la misma</w:t>
      </w:r>
      <w:r>
        <w:t>:</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3516"/>
        <w:gridCol w:w="1824"/>
        <w:gridCol w:w="3449"/>
      </w:tblGrid>
      <w:tr w:rsidR="00A44D99" w:rsidRPr="00162756" w14:paraId="740ACAD9" w14:textId="77777777" w:rsidTr="004A4BCF">
        <w:trPr>
          <w:trHeight w:val="255"/>
        </w:trPr>
        <w:tc>
          <w:tcPr>
            <w:tcW w:w="3459" w:type="dxa"/>
            <w:shd w:val="clear" w:color="auto" w:fill="9CC2E5" w:themeFill="accent1" w:themeFillTint="99"/>
            <w:vAlign w:val="center"/>
          </w:tcPr>
          <w:p w14:paraId="4477A562" w14:textId="77777777" w:rsidR="00162756" w:rsidRPr="00162756" w:rsidRDefault="00162756" w:rsidP="005E03F5">
            <w:pPr>
              <w:pStyle w:val="Default"/>
              <w:spacing w:after="40"/>
              <w:rPr>
                <w:rFonts w:ascii="Arial" w:hAnsi="Arial" w:cs="Arial"/>
                <w:sz w:val="18"/>
                <w:szCs w:val="18"/>
              </w:rPr>
            </w:pPr>
            <w:r w:rsidRPr="3896A6D9">
              <w:rPr>
                <w:rFonts w:ascii="Arial" w:hAnsi="Arial" w:cs="Arial"/>
                <w:sz w:val="18"/>
                <w:szCs w:val="18"/>
              </w:rPr>
              <w:t>Obligación</w:t>
            </w:r>
          </w:p>
        </w:tc>
        <w:tc>
          <w:tcPr>
            <w:tcW w:w="1795" w:type="dxa"/>
            <w:shd w:val="clear" w:color="auto" w:fill="9CC2E5" w:themeFill="accent1" w:themeFillTint="99"/>
            <w:vAlign w:val="center"/>
          </w:tcPr>
          <w:p w14:paraId="226148E9" w14:textId="12A10110" w:rsidR="005E03F5" w:rsidRPr="00162756" w:rsidRDefault="747167A4" w:rsidP="00471CE4">
            <w:pPr>
              <w:pStyle w:val="Default"/>
              <w:spacing w:after="40"/>
              <w:rPr>
                <w:rFonts w:ascii="Arial" w:hAnsi="Arial" w:cs="Arial"/>
                <w:sz w:val="18"/>
                <w:szCs w:val="18"/>
              </w:rPr>
            </w:pPr>
            <w:r w:rsidRPr="5D8B6717">
              <w:rPr>
                <w:rFonts w:ascii="Arial" w:hAnsi="Arial" w:cs="Arial"/>
                <w:sz w:val="18"/>
                <w:szCs w:val="18"/>
              </w:rPr>
              <w:t>Análisis del cumplimiento</w:t>
            </w:r>
          </w:p>
        </w:tc>
        <w:tc>
          <w:tcPr>
            <w:tcW w:w="3393" w:type="dxa"/>
            <w:shd w:val="clear" w:color="auto" w:fill="9CC2E5" w:themeFill="accent1" w:themeFillTint="99"/>
            <w:vAlign w:val="center"/>
          </w:tcPr>
          <w:p w14:paraId="1E234151" w14:textId="77777777" w:rsidR="00162756" w:rsidRPr="00162756" w:rsidRDefault="00162756" w:rsidP="00471CE4">
            <w:pPr>
              <w:pStyle w:val="Default"/>
              <w:spacing w:after="40"/>
              <w:rPr>
                <w:rFonts w:ascii="Arial" w:hAnsi="Arial" w:cs="Arial"/>
                <w:sz w:val="18"/>
                <w:szCs w:val="18"/>
              </w:rPr>
            </w:pPr>
            <w:r w:rsidRPr="00162756">
              <w:rPr>
                <w:rFonts w:ascii="Arial" w:hAnsi="Arial" w:cs="Arial"/>
                <w:sz w:val="18"/>
                <w:szCs w:val="18"/>
              </w:rPr>
              <w:t>Observaciones</w:t>
            </w:r>
          </w:p>
        </w:tc>
      </w:tr>
      <w:tr w:rsidR="00162756" w14:paraId="15B5AAE3" w14:textId="77777777" w:rsidTr="004A4BCF">
        <w:trPr>
          <w:trHeight w:val="198"/>
        </w:trPr>
        <w:tc>
          <w:tcPr>
            <w:tcW w:w="3459" w:type="dxa"/>
            <w:tcBorders>
              <w:bottom w:val="single" w:sz="2" w:space="0" w:color="auto"/>
            </w:tcBorders>
            <w:vAlign w:val="center"/>
          </w:tcPr>
          <w:p w14:paraId="2D40621D" w14:textId="3877D573" w:rsidR="00162756" w:rsidRPr="00107795" w:rsidRDefault="00162756" w:rsidP="005E03F5">
            <w:pPr>
              <w:pStyle w:val="Default"/>
              <w:jc w:val="both"/>
              <w:rPr>
                <w:rFonts w:ascii="Arial Narrow" w:hAnsi="Arial Narrow"/>
                <w:i/>
              </w:rPr>
            </w:pPr>
            <w:r w:rsidRPr="00107795">
              <w:rPr>
                <w:rFonts w:ascii="Arial Narrow" w:eastAsia="Calibri" w:hAnsi="Arial Narrow" w:cs="Times New Roman"/>
                <w:lang w:val="es-ES_tradnl"/>
              </w:rPr>
              <w:t>Residir de forma efectiva y continuada en Navarra</w:t>
            </w:r>
          </w:p>
        </w:tc>
        <w:tc>
          <w:tcPr>
            <w:tcW w:w="1795" w:type="dxa"/>
            <w:tcBorders>
              <w:bottom w:val="single" w:sz="2" w:space="0" w:color="auto"/>
            </w:tcBorders>
            <w:vAlign w:val="center"/>
          </w:tcPr>
          <w:p w14:paraId="76D48832" w14:textId="77777777" w:rsidR="00162756" w:rsidRPr="00723A0D" w:rsidRDefault="00162756" w:rsidP="00471CE4">
            <w:pPr>
              <w:pStyle w:val="Default"/>
              <w:rPr>
                <w:rFonts w:ascii="Arial Narrow" w:hAnsi="Arial Narrow"/>
              </w:rPr>
            </w:pPr>
            <w:r w:rsidRPr="00723A0D">
              <w:rPr>
                <w:rFonts w:ascii="Arial Narrow" w:hAnsi="Arial Narrow"/>
              </w:rPr>
              <w:t>No podemos opinar</w:t>
            </w:r>
          </w:p>
        </w:tc>
        <w:tc>
          <w:tcPr>
            <w:tcW w:w="3393" w:type="dxa"/>
            <w:tcBorders>
              <w:bottom w:val="single" w:sz="2" w:space="0" w:color="auto"/>
            </w:tcBorders>
            <w:vAlign w:val="center"/>
          </w:tcPr>
          <w:p w14:paraId="1ABAB4DE" w14:textId="5BE889BE" w:rsidR="00162756" w:rsidRPr="00E94F74" w:rsidRDefault="003315C6" w:rsidP="003315C6">
            <w:pPr>
              <w:pStyle w:val="Default"/>
              <w:ind w:right="-104"/>
              <w:jc w:val="both"/>
              <w:rPr>
                <w:rFonts w:ascii="Arial Narrow" w:hAnsi="Arial Narrow"/>
              </w:rPr>
            </w:pPr>
            <w:r>
              <w:rPr>
                <w:rFonts w:ascii="Arial Narrow" w:hAnsi="Arial Narrow"/>
              </w:rPr>
              <w:t xml:space="preserve">Dentro de los controles mensuales que realiza el </w:t>
            </w:r>
            <w:r w:rsidR="11A521E6" w:rsidRPr="00E94F74">
              <w:rPr>
                <w:rFonts w:ascii="Arial Narrow" w:hAnsi="Arial Narrow"/>
              </w:rPr>
              <w:t>departamento</w:t>
            </w:r>
            <w:r>
              <w:rPr>
                <w:rFonts w:ascii="Arial Narrow" w:hAnsi="Arial Narrow"/>
              </w:rPr>
              <w:t>, este requisito no lo controla de manera automatizada, verificando su cumplimiento en las concesiones y renovaciones</w:t>
            </w:r>
          </w:p>
        </w:tc>
      </w:tr>
      <w:tr w:rsidR="00162756" w14:paraId="5D63540F" w14:textId="77777777" w:rsidTr="004A4BCF">
        <w:trPr>
          <w:trHeight w:val="198"/>
        </w:trPr>
        <w:tc>
          <w:tcPr>
            <w:tcW w:w="3459" w:type="dxa"/>
            <w:tcBorders>
              <w:top w:val="single" w:sz="2" w:space="0" w:color="auto"/>
              <w:bottom w:val="single" w:sz="2" w:space="0" w:color="auto"/>
            </w:tcBorders>
            <w:vAlign w:val="center"/>
          </w:tcPr>
          <w:p w14:paraId="05DB7275" w14:textId="59D6708A" w:rsidR="00162756" w:rsidRPr="00107795" w:rsidRDefault="00162756" w:rsidP="00F9751D">
            <w:pPr>
              <w:pStyle w:val="Default"/>
              <w:jc w:val="both"/>
              <w:rPr>
                <w:rFonts w:ascii="Arial Narrow" w:hAnsi="Arial Narrow"/>
                <w:i/>
              </w:rPr>
            </w:pPr>
            <w:r w:rsidRPr="00107795">
              <w:rPr>
                <w:rFonts w:ascii="Arial Narrow" w:eastAsia="Calibri" w:hAnsi="Arial Narrow" w:cs="Times New Roman"/>
                <w:lang w:val="es-ES_tradnl"/>
              </w:rPr>
              <w:t>Solicitar todo derecho a prestación de contenido económico que pudiera corresponder a las personas beneficiarias</w:t>
            </w:r>
            <w:r w:rsidR="00393EB0">
              <w:rPr>
                <w:rFonts w:ascii="Arial Narrow" w:eastAsia="Calibri" w:hAnsi="Arial Narrow" w:cs="Times New Roman"/>
                <w:lang w:val="es-ES_tradnl"/>
              </w:rPr>
              <w:t>.</w:t>
            </w:r>
          </w:p>
        </w:tc>
        <w:tc>
          <w:tcPr>
            <w:tcW w:w="1795" w:type="dxa"/>
            <w:tcBorders>
              <w:top w:val="single" w:sz="2" w:space="0" w:color="auto"/>
              <w:bottom w:val="single" w:sz="2" w:space="0" w:color="auto"/>
            </w:tcBorders>
            <w:vAlign w:val="center"/>
          </w:tcPr>
          <w:p w14:paraId="22C2223F" w14:textId="77777777" w:rsidR="00162756" w:rsidRPr="00723A0D" w:rsidRDefault="00162756" w:rsidP="00471CE4">
            <w:pPr>
              <w:pStyle w:val="Default"/>
              <w:rPr>
                <w:rFonts w:ascii="Arial Narrow" w:hAnsi="Arial Narrow"/>
              </w:rPr>
            </w:pPr>
            <w:r w:rsidRPr="00723A0D">
              <w:rPr>
                <w:rFonts w:ascii="Arial Narrow" w:hAnsi="Arial Narrow"/>
              </w:rPr>
              <w:t>No podemos opinar</w:t>
            </w:r>
          </w:p>
        </w:tc>
        <w:tc>
          <w:tcPr>
            <w:tcW w:w="3393" w:type="dxa"/>
            <w:tcBorders>
              <w:top w:val="single" w:sz="2" w:space="0" w:color="auto"/>
              <w:bottom w:val="single" w:sz="2" w:space="0" w:color="auto"/>
            </w:tcBorders>
            <w:vAlign w:val="center"/>
          </w:tcPr>
          <w:p w14:paraId="43A540C8" w14:textId="15BD7F8E" w:rsidR="00162756" w:rsidRPr="00E94F74" w:rsidRDefault="4E5545EB" w:rsidP="004A4BCF">
            <w:pPr>
              <w:pStyle w:val="Default"/>
              <w:ind w:right="-104"/>
              <w:jc w:val="both"/>
              <w:rPr>
                <w:rFonts w:ascii="Arial Narrow" w:hAnsi="Arial Narrow"/>
              </w:rPr>
            </w:pPr>
            <w:r w:rsidRPr="00E94F74">
              <w:rPr>
                <w:rFonts w:ascii="Arial Narrow" w:hAnsi="Arial Narrow"/>
              </w:rPr>
              <w:t>No hemos podido obtener evidencia de que todas las personas que debieran haber solicitado el IMV lo hayan hecho</w:t>
            </w:r>
            <w:r w:rsidR="00EA1C05">
              <w:rPr>
                <w:rFonts w:ascii="Arial Narrow" w:hAnsi="Arial Narrow"/>
              </w:rPr>
              <w:t>,</w:t>
            </w:r>
            <w:r w:rsidR="00CA1162">
              <w:rPr>
                <w:rFonts w:ascii="Arial Narrow" w:hAnsi="Arial Narrow"/>
              </w:rPr>
              <w:t xml:space="preserve"> debido fundamentalmente a la falta de datos históricos en SIPSS</w:t>
            </w:r>
          </w:p>
        </w:tc>
      </w:tr>
      <w:tr w:rsidR="00A376A2" w14:paraId="4F83BEF2" w14:textId="77777777" w:rsidTr="004A4BCF">
        <w:trPr>
          <w:trHeight w:val="198"/>
        </w:trPr>
        <w:tc>
          <w:tcPr>
            <w:tcW w:w="3459" w:type="dxa"/>
            <w:tcBorders>
              <w:top w:val="single" w:sz="2" w:space="0" w:color="auto"/>
              <w:bottom w:val="single" w:sz="2" w:space="0" w:color="auto"/>
            </w:tcBorders>
            <w:vAlign w:val="center"/>
          </w:tcPr>
          <w:p w14:paraId="48CC6B5E" w14:textId="6D64ECB5" w:rsidR="00A376A2" w:rsidRPr="00107795" w:rsidRDefault="00A376A2" w:rsidP="00F9751D">
            <w:pPr>
              <w:pStyle w:val="Default"/>
              <w:jc w:val="both"/>
              <w:rPr>
                <w:rFonts w:ascii="Arial Narrow" w:hAnsi="Arial Narrow"/>
                <w:i/>
              </w:rPr>
            </w:pPr>
            <w:r w:rsidRPr="00107795">
              <w:rPr>
                <w:rFonts w:ascii="Arial Narrow" w:eastAsia="Calibri" w:hAnsi="Arial Narrow" w:cs="Times New Roman"/>
                <w:lang w:val="es-ES_tradnl"/>
              </w:rPr>
              <w:t xml:space="preserve">Mantenerse disponibles para las ofertas de empleo adecuado en el Servicio Navarro de Empleo, salvo las personas que se encuentren en situación </w:t>
            </w:r>
            <w:r w:rsidR="00393EB0">
              <w:rPr>
                <w:rFonts w:ascii="Arial Narrow" w:eastAsia="Calibri" w:hAnsi="Arial Narrow" w:cs="Times New Roman"/>
                <w:lang w:val="es-ES_tradnl"/>
              </w:rPr>
              <w:t>administrativa irregular</w:t>
            </w:r>
          </w:p>
        </w:tc>
        <w:tc>
          <w:tcPr>
            <w:tcW w:w="1795" w:type="dxa"/>
            <w:tcBorders>
              <w:top w:val="single" w:sz="2" w:space="0" w:color="auto"/>
              <w:bottom w:val="single" w:sz="2" w:space="0" w:color="auto"/>
            </w:tcBorders>
            <w:vAlign w:val="center"/>
          </w:tcPr>
          <w:p w14:paraId="26710079" w14:textId="69010966" w:rsidR="00CA1162" w:rsidRDefault="00A376A2" w:rsidP="00471CE4">
            <w:pPr>
              <w:pStyle w:val="Default"/>
              <w:rPr>
                <w:rFonts w:ascii="Arial Narrow" w:hAnsi="Arial Narrow"/>
              </w:rPr>
            </w:pPr>
            <w:r w:rsidRPr="00723A0D">
              <w:rPr>
                <w:rFonts w:ascii="Arial Narrow" w:hAnsi="Arial Narrow"/>
              </w:rPr>
              <w:t xml:space="preserve">No </w:t>
            </w:r>
            <w:r w:rsidR="000B2002">
              <w:rPr>
                <w:rFonts w:ascii="Arial Narrow" w:hAnsi="Arial Narrow"/>
              </w:rPr>
              <w:t>se cumple</w:t>
            </w:r>
            <w:r w:rsidR="00CA1162">
              <w:rPr>
                <w:rFonts w:ascii="Arial Narrow" w:hAnsi="Arial Narrow"/>
              </w:rPr>
              <w:t xml:space="preserve"> en</w:t>
            </w:r>
          </w:p>
          <w:p w14:paraId="678D008D" w14:textId="72C90FD3" w:rsidR="00A376A2" w:rsidRPr="00723A0D" w:rsidRDefault="00CA1162" w:rsidP="00471CE4">
            <w:pPr>
              <w:pStyle w:val="Default"/>
              <w:rPr>
                <w:rFonts w:ascii="Arial Narrow" w:hAnsi="Arial Narrow"/>
              </w:rPr>
            </w:pPr>
            <w:r>
              <w:rPr>
                <w:rFonts w:ascii="Arial Narrow" w:hAnsi="Arial Narrow"/>
              </w:rPr>
              <w:t>todos los casos</w:t>
            </w:r>
          </w:p>
        </w:tc>
        <w:tc>
          <w:tcPr>
            <w:tcW w:w="3393" w:type="dxa"/>
            <w:tcBorders>
              <w:top w:val="single" w:sz="2" w:space="0" w:color="auto"/>
              <w:bottom w:val="single" w:sz="2" w:space="0" w:color="auto"/>
            </w:tcBorders>
            <w:vAlign w:val="center"/>
          </w:tcPr>
          <w:p w14:paraId="3ABD16A9" w14:textId="4FDBFE6C" w:rsidR="009B5C9E" w:rsidRDefault="32B018EB" w:rsidP="004A4BCF">
            <w:pPr>
              <w:pStyle w:val="Default"/>
              <w:ind w:right="-104"/>
              <w:jc w:val="both"/>
              <w:rPr>
                <w:rFonts w:ascii="Arial Narrow" w:hAnsi="Arial Narrow"/>
              </w:rPr>
            </w:pPr>
            <w:r w:rsidRPr="3896A6D9">
              <w:rPr>
                <w:rFonts w:ascii="Arial Narrow" w:hAnsi="Arial Narrow"/>
              </w:rPr>
              <w:t>Según los datos de SIPSS, la causa registrada para la baja definitiva de 1.266 expedientes antes del fin del periodo de concesión fue no mantenerse disponibles para el empleo.</w:t>
            </w:r>
          </w:p>
          <w:p w14:paraId="12B4A216" w14:textId="16A8DA6F" w:rsidR="00EE2F52" w:rsidRPr="00E94F74" w:rsidRDefault="009B5C9E" w:rsidP="00393EB0">
            <w:pPr>
              <w:pStyle w:val="Default"/>
              <w:ind w:right="-104"/>
              <w:jc w:val="both"/>
              <w:rPr>
                <w:rFonts w:ascii="Arial Narrow" w:hAnsi="Arial Narrow"/>
              </w:rPr>
            </w:pPr>
            <w:r w:rsidRPr="3896A6D9">
              <w:rPr>
                <w:rFonts w:ascii="Arial Narrow" w:hAnsi="Arial Narrow"/>
              </w:rPr>
              <w:t>E</w:t>
            </w:r>
            <w:r w:rsidR="000951AF" w:rsidRPr="3896A6D9">
              <w:rPr>
                <w:rFonts w:ascii="Arial Narrow" w:hAnsi="Arial Narrow"/>
              </w:rPr>
              <w:t>l control mensual del departamento</w:t>
            </w:r>
            <w:r w:rsidR="00393EB0">
              <w:rPr>
                <w:rFonts w:ascii="Arial Narrow" w:hAnsi="Arial Narrow"/>
              </w:rPr>
              <w:t xml:space="preserve"> </w:t>
            </w:r>
            <w:r w:rsidR="000951AF" w:rsidRPr="3896A6D9">
              <w:rPr>
                <w:rFonts w:ascii="Arial Narrow" w:hAnsi="Arial Narrow"/>
              </w:rPr>
              <w:t>sobre este requisito</w:t>
            </w:r>
            <w:r w:rsidRPr="3896A6D9">
              <w:rPr>
                <w:rFonts w:ascii="Arial Narrow" w:hAnsi="Arial Narrow"/>
              </w:rPr>
              <w:t xml:space="preserve"> resultó ine</w:t>
            </w:r>
            <w:r w:rsidR="00C25AAC">
              <w:rPr>
                <w:rFonts w:ascii="Arial Narrow" w:hAnsi="Arial Narrow"/>
              </w:rPr>
              <w:t xml:space="preserve">fectivo ya que no se incluyeron </w:t>
            </w:r>
            <w:r w:rsidRPr="3896A6D9">
              <w:rPr>
                <w:rFonts w:ascii="Arial Narrow" w:hAnsi="Arial Narrow"/>
              </w:rPr>
              <w:t xml:space="preserve">avisos por </w:t>
            </w:r>
            <w:r w:rsidR="484C886E" w:rsidRPr="3896A6D9">
              <w:rPr>
                <w:rFonts w:ascii="Arial Narrow" w:hAnsi="Arial Narrow"/>
              </w:rPr>
              <w:t xml:space="preserve">posibles </w:t>
            </w:r>
            <w:r w:rsidRPr="3896A6D9">
              <w:rPr>
                <w:rFonts w:ascii="Arial Narrow" w:hAnsi="Arial Narrow"/>
              </w:rPr>
              <w:t>incumplimiento</w:t>
            </w:r>
            <w:r w:rsidR="33FF55C7" w:rsidRPr="3896A6D9">
              <w:rPr>
                <w:rFonts w:ascii="Arial Narrow" w:hAnsi="Arial Narrow"/>
              </w:rPr>
              <w:t>s</w:t>
            </w:r>
            <w:r w:rsidRPr="3896A6D9">
              <w:rPr>
                <w:rFonts w:ascii="Arial Narrow" w:hAnsi="Arial Narrow"/>
              </w:rPr>
              <w:t xml:space="preserve"> en</w:t>
            </w:r>
            <w:r w:rsidR="2A6300C5" w:rsidRPr="3896A6D9">
              <w:rPr>
                <w:rFonts w:ascii="Arial Narrow" w:hAnsi="Arial Narrow"/>
              </w:rPr>
              <w:t xml:space="preserve"> cinco meses de 2023 en</w:t>
            </w:r>
            <w:r w:rsidRPr="3896A6D9">
              <w:rPr>
                <w:rFonts w:ascii="Arial Narrow" w:hAnsi="Arial Narrow"/>
              </w:rPr>
              <w:t xml:space="preserve"> SIPSS </w:t>
            </w:r>
            <w:r w:rsidR="1D63C05E" w:rsidRPr="3896A6D9">
              <w:rPr>
                <w:rFonts w:ascii="Arial Narrow" w:hAnsi="Arial Narrow"/>
              </w:rPr>
              <w:t xml:space="preserve"> </w:t>
            </w:r>
            <w:r w:rsidR="00C25AAC">
              <w:rPr>
                <w:rFonts w:ascii="Arial Narrow" w:hAnsi="Arial Narrow"/>
              </w:rPr>
              <w:t xml:space="preserve">y </w:t>
            </w:r>
            <w:r w:rsidRPr="3896A6D9">
              <w:rPr>
                <w:rFonts w:ascii="Arial Narrow" w:hAnsi="Arial Narrow"/>
              </w:rPr>
              <w:t>no se revisó la situación en el 21</w:t>
            </w:r>
            <w:r w:rsidR="43A094E0" w:rsidRPr="3896A6D9">
              <w:rPr>
                <w:rFonts w:ascii="Arial Narrow" w:hAnsi="Arial Narrow"/>
              </w:rPr>
              <w:t xml:space="preserve"> por ciento de las personas</w:t>
            </w:r>
          </w:p>
        </w:tc>
      </w:tr>
      <w:tr w:rsidR="00A376A2" w14:paraId="62700C69" w14:textId="77777777" w:rsidTr="004A4BCF">
        <w:trPr>
          <w:trHeight w:val="198"/>
        </w:trPr>
        <w:tc>
          <w:tcPr>
            <w:tcW w:w="3459" w:type="dxa"/>
            <w:tcBorders>
              <w:top w:val="single" w:sz="2" w:space="0" w:color="auto"/>
              <w:bottom w:val="single" w:sz="2" w:space="0" w:color="auto"/>
            </w:tcBorders>
            <w:vAlign w:val="center"/>
          </w:tcPr>
          <w:p w14:paraId="4D72CCB7" w14:textId="77777777" w:rsidR="00A376A2" w:rsidRPr="00107795" w:rsidRDefault="00A376A2" w:rsidP="00F9751D">
            <w:pPr>
              <w:pStyle w:val="Default"/>
              <w:jc w:val="both"/>
              <w:rPr>
                <w:rFonts w:ascii="Arial Narrow" w:hAnsi="Arial Narrow"/>
              </w:rPr>
            </w:pPr>
            <w:r w:rsidRPr="00107795">
              <w:rPr>
                <w:rFonts w:ascii="Arial Narrow" w:hAnsi="Arial Narrow"/>
              </w:rPr>
              <w:t>Las personas deben aceptar las ofertas de empleo adecuado propuestas</w:t>
            </w:r>
          </w:p>
        </w:tc>
        <w:tc>
          <w:tcPr>
            <w:tcW w:w="1795" w:type="dxa"/>
            <w:tcBorders>
              <w:top w:val="single" w:sz="2" w:space="0" w:color="auto"/>
              <w:bottom w:val="single" w:sz="2" w:space="0" w:color="auto"/>
            </w:tcBorders>
            <w:vAlign w:val="center"/>
          </w:tcPr>
          <w:p w14:paraId="1FA1D2FB" w14:textId="7A9D07A8" w:rsidR="00A376A2" w:rsidRPr="00723A0D" w:rsidRDefault="00466EF9" w:rsidP="00471CE4">
            <w:pPr>
              <w:pStyle w:val="Default"/>
              <w:rPr>
                <w:rFonts w:ascii="Arial Narrow" w:hAnsi="Arial Narrow"/>
              </w:rPr>
            </w:pPr>
            <w:r>
              <w:rPr>
                <w:rFonts w:ascii="Arial Narrow" w:hAnsi="Arial Narrow"/>
              </w:rPr>
              <w:t>No podemos opinar</w:t>
            </w:r>
          </w:p>
        </w:tc>
        <w:tc>
          <w:tcPr>
            <w:tcW w:w="3393" w:type="dxa"/>
            <w:tcBorders>
              <w:top w:val="single" w:sz="2" w:space="0" w:color="auto"/>
              <w:bottom w:val="single" w:sz="2" w:space="0" w:color="auto"/>
            </w:tcBorders>
            <w:vAlign w:val="center"/>
          </w:tcPr>
          <w:p w14:paraId="66E58C83" w14:textId="79F8EA2D" w:rsidR="00A376A2" w:rsidRPr="00E94F74" w:rsidRDefault="00466EF9" w:rsidP="00393EB0">
            <w:pPr>
              <w:pStyle w:val="Default"/>
              <w:ind w:right="-104"/>
              <w:jc w:val="both"/>
              <w:rPr>
                <w:rFonts w:ascii="Arial Narrow" w:hAnsi="Arial Narrow"/>
              </w:rPr>
            </w:pPr>
            <w:r>
              <w:rPr>
                <w:rFonts w:ascii="Arial Narrow" w:hAnsi="Arial Narrow"/>
              </w:rPr>
              <w:t>Si bien e</w:t>
            </w:r>
            <w:r w:rsidR="0B0FC42A" w:rsidRPr="3896A6D9">
              <w:rPr>
                <w:rFonts w:ascii="Arial Narrow" w:hAnsi="Arial Narrow"/>
              </w:rPr>
              <w:t xml:space="preserve">l 22 por ciento de las personas </w:t>
            </w:r>
            <w:r w:rsidR="1A7B8047" w:rsidRPr="3896A6D9">
              <w:rPr>
                <w:rFonts w:ascii="Arial Narrow" w:hAnsi="Arial Narrow"/>
              </w:rPr>
              <w:t>no</w:t>
            </w:r>
            <w:r w:rsidR="0B0FC42A" w:rsidRPr="3896A6D9">
              <w:rPr>
                <w:rFonts w:ascii="Arial Narrow" w:hAnsi="Arial Narrow"/>
              </w:rPr>
              <w:t xml:space="preserve"> acuden a las ofertas de trabajo propuestas</w:t>
            </w:r>
            <w:r>
              <w:rPr>
                <w:rFonts w:ascii="Arial Narrow" w:hAnsi="Arial Narrow"/>
              </w:rPr>
              <w:t xml:space="preserve"> y difícilmente pueden aceptar las ofertas de trabajo que se les pudieran proponer, no consta si el 78 por ciento que sí acude acepta o no las ofertas de empleo que se le proponen</w:t>
            </w:r>
          </w:p>
        </w:tc>
      </w:tr>
      <w:tr w:rsidR="00162756" w14:paraId="7D0A163A" w14:textId="77777777" w:rsidTr="004A4BCF">
        <w:trPr>
          <w:trHeight w:val="198"/>
        </w:trPr>
        <w:tc>
          <w:tcPr>
            <w:tcW w:w="3459" w:type="dxa"/>
            <w:tcBorders>
              <w:top w:val="single" w:sz="2" w:space="0" w:color="auto"/>
              <w:bottom w:val="single" w:sz="2" w:space="0" w:color="auto"/>
            </w:tcBorders>
            <w:vAlign w:val="center"/>
          </w:tcPr>
          <w:p w14:paraId="18E55253" w14:textId="77777777" w:rsidR="00A44D99" w:rsidRPr="00107795" w:rsidRDefault="00162756" w:rsidP="00F9751D">
            <w:pPr>
              <w:pStyle w:val="Default"/>
              <w:jc w:val="both"/>
              <w:rPr>
                <w:rFonts w:ascii="Arial Narrow" w:eastAsia="Calibri" w:hAnsi="Arial Narrow" w:cs="Times New Roman"/>
              </w:rPr>
            </w:pPr>
            <w:r w:rsidRPr="00107795">
              <w:rPr>
                <w:rFonts w:ascii="Arial Narrow" w:eastAsia="Calibri" w:hAnsi="Arial Narrow" w:cs="Times New Roman"/>
              </w:rPr>
              <w:t xml:space="preserve">Participar en las actividades </w:t>
            </w:r>
          </w:p>
          <w:p w14:paraId="4FB55E41" w14:textId="10C5DF69" w:rsidR="00162756" w:rsidRPr="00107795" w:rsidRDefault="00393EB0" w:rsidP="00F9751D">
            <w:pPr>
              <w:pStyle w:val="Default"/>
              <w:jc w:val="both"/>
              <w:rPr>
                <w:rFonts w:ascii="Arial Narrow" w:eastAsia="Calibri" w:hAnsi="Arial Narrow" w:cs="Times New Roman"/>
              </w:rPr>
            </w:pPr>
            <w:r>
              <w:rPr>
                <w:rFonts w:ascii="Arial Narrow" w:eastAsia="Calibri" w:hAnsi="Arial Narrow" w:cs="Times New Roman"/>
              </w:rPr>
              <w:t>de inserción socio-laboral</w:t>
            </w:r>
            <w:r w:rsidR="00162756" w:rsidRPr="00107795">
              <w:rPr>
                <w:rFonts w:ascii="Arial Narrow" w:eastAsia="Calibri" w:hAnsi="Arial Narrow" w:cs="Times New Roman"/>
              </w:rPr>
              <w:t xml:space="preserve"> </w:t>
            </w:r>
          </w:p>
        </w:tc>
        <w:tc>
          <w:tcPr>
            <w:tcW w:w="1795" w:type="dxa"/>
            <w:tcBorders>
              <w:top w:val="single" w:sz="2" w:space="0" w:color="auto"/>
              <w:bottom w:val="single" w:sz="2" w:space="0" w:color="auto"/>
            </w:tcBorders>
            <w:vAlign w:val="center"/>
          </w:tcPr>
          <w:p w14:paraId="0C9CCE25" w14:textId="10FC2A6E" w:rsidR="00CA1162" w:rsidRDefault="21CE05F7" w:rsidP="00471CE4">
            <w:pPr>
              <w:pStyle w:val="Default"/>
              <w:rPr>
                <w:rFonts w:ascii="Arial Narrow" w:hAnsi="Arial Narrow"/>
              </w:rPr>
            </w:pPr>
            <w:r w:rsidRPr="5D8B6717">
              <w:rPr>
                <w:rFonts w:ascii="Arial Narrow" w:hAnsi="Arial Narrow"/>
              </w:rPr>
              <w:t xml:space="preserve">No </w:t>
            </w:r>
            <w:r w:rsidR="50AB6065" w:rsidRPr="5D8B6717">
              <w:rPr>
                <w:rFonts w:ascii="Arial Narrow" w:hAnsi="Arial Narrow"/>
              </w:rPr>
              <w:t>se cumple</w:t>
            </w:r>
            <w:r w:rsidR="00CA1162">
              <w:rPr>
                <w:rFonts w:ascii="Arial Narrow" w:hAnsi="Arial Narrow"/>
              </w:rPr>
              <w:t xml:space="preserve"> en</w:t>
            </w:r>
          </w:p>
          <w:p w14:paraId="4E17718F" w14:textId="14F81726" w:rsidR="00162756" w:rsidRPr="00C20295" w:rsidRDefault="00CA1162" w:rsidP="00471CE4">
            <w:pPr>
              <w:pStyle w:val="Default"/>
              <w:rPr>
                <w:rFonts w:ascii="Arial Narrow" w:hAnsi="Arial Narrow"/>
              </w:rPr>
            </w:pPr>
            <w:r>
              <w:rPr>
                <w:rFonts w:ascii="Arial Narrow" w:hAnsi="Arial Narrow"/>
              </w:rPr>
              <w:t>todos los casos</w:t>
            </w:r>
          </w:p>
        </w:tc>
        <w:tc>
          <w:tcPr>
            <w:tcW w:w="3393" w:type="dxa"/>
            <w:tcBorders>
              <w:top w:val="single" w:sz="2" w:space="0" w:color="auto"/>
              <w:bottom w:val="single" w:sz="2" w:space="0" w:color="auto"/>
            </w:tcBorders>
            <w:vAlign w:val="center"/>
          </w:tcPr>
          <w:p w14:paraId="0A730C6B" w14:textId="3C51DE22" w:rsidR="00162756" w:rsidRPr="00E94F74" w:rsidRDefault="00EA1C05" w:rsidP="00EA1C05">
            <w:pPr>
              <w:pStyle w:val="Default"/>
              <w:ind w:right="-104"/>
              <w:jc w:val="both"/>
              <w:rPr>
                <w:rFonts w:ascii="Arial Narrow" w:hAnsi="Arial Narrow"/>
              </w:rPr>
            </w:pPr>
            <w:r>
              <w:rPr>
                <w:rFonts w:ascii="Arial Narrow" w:hAnsi="Arial Narrow"/>
              </w:rPr>
              <w:t>Según datos del SNE, el</w:t>
            </w:r>
            <w:r w:rsidR="2348D13F" w:rsidRPr="3896A6D9">
              <w:rPr>
                <w:rFonts w:ascii="Arial Narrow" w:hAnsi="Arial Narrow"/>
              </w:rPr>
              <w:t xml:space="preserve"> 22 por ciento de las personas citadas para ofertas de puestos de trabajo no acuden y </w:t>
            </w:r>
            <w:r w:rsidR="009B5C9E" w:rsidRPr="3896A6D9">
              <w:rPr>
                <w:rFonts w:ascii="Arial Narrow" w:hAnsi="Arial Narrow"/>
              </w:rPr>
              <w:t xml:space="preserve">el siete por ciento </w:t>
            </w:r>
            <w:r w:rsidR="2348D13F" w:rsidRPr="3896A6D9">
              <w:rPr>
                <w:rFonts w:ascii="Arial Narrow" w:hAnsi="Arial Narrow"/>
              </w:rPr>
              <w:t xml:space="preserve"> tampoco lo h</w:t>
            </w:r>
            <w:r w:rsidR="00393EB0">
              <w:rPr>
                <w:rFonts w:ascii="Arial Narrow" w:hAnsi="Arial Narrow"/>
              </w:rPr>
              <w:t>acen a sus citas de orientación</w:t>
            </w:r>
          </w:p>
        </w:tc>
      </w:tr>
      <w:tr w:rsidR="00CA1162" w14:paraId="56688189" w14:textId="77777777" w:rsidTr="004A4BCF">
        <w:trPr>
          <w:trHeight w:val="198"/>
        </w:trPr>
        <w:tc>
          <w:tcPr>
            <w:tcW w:w="3459" w:type="dxa"/>
            <w:tcBorders>
              <w:top w:val="single" w:sz="2" w:space="0" w:color="auto"/>
              <w:bottom w:val="single" w:sz="2" w:space="0" w:color="auto"/>
            </w:tcBorders>
            <w:vAlign w:val="center"/>
          </w:tcPr>
          <w:p w14:paraId="61E90691" w14:textId="196C40BA" w:rsidR="00CA1162" w:rsidRPr="00107795" w:rsidRDefault="00CA1162" w:rsidP="00F9751D">
            <w:pPr>
              <w:pStyle w:val="Default"/>
              <w:jc w:val="both"/>
              <w:rPr>
                <w:rFonts w:ascii="Arial Narrow" w:eastAsia="Calibri" w:hAnsi="Arial Narrow" w:cs="Times New Roman"/>
              </w:rPr>
            </w:pPr>
            <w:r w:rsidRPr="00107795">
              <w:rPr>
                <w:rFonts w:ascii="Arial Narrow" w:eastAsia="Calibri" w:hAnsi="Arial Narrow" w:cs="Times New Roman"/>
              </w:rPr>
              <w:t xml:space="preserve">Comunicar cualquier cambio en las circunstancias que </w:t>
            </w:r>
            <w:r w:rsidR="00393EB0">
              <w:rPr>
                <w:rFonts w:ascii="Arial Narrow" w:eastAsia="Calibri" w:hAnsi="Arial Narrow" w:cs="Times New Roman"/>
              </w:rPr>
              <w:t>afecte a la concesión de la RG</w:t>
            </w:r>
          </w:p>
        </w:tc>
        <w:tc>
          <w:tcPr>
            <w:tcW w:w="1795" w:type="dxa"/>
            <w:vMerge w:val="restart"/>
            <w:tcBorders>
              <w:top w:val="single" w:sz="2" w:space="0" w:color="auto"/>
              <w:bottom w:val="single" w:sz="2" w:space="0" w:color="auto"/>
            </w:tcBorders>
            <w:vAlign w:val="center"/>
          </w:tcPr>
          <w:p w14:paraId="0E3821E6" w14:textId="34F486B8" w:rsidR="00CA1162" w:rsidRDefault="00CA1162" w:rsidP="00471CE4">
            <w:pPr>
              <w:pStyle w:val="Default"/>
              <w:rPr>
                <w:rFonts w:ascii="Arial Narrow" w:hAnsi="Arial Narrow"/>
              </w:rPr>
            </w:pPr>
            <w:r w:rsidRPr="5D8B6717">
              <w:rPr>
                <w:rFonts w:ascii="Arial Narrow" w:hAnsi="Arial Narrow"/>
              </w:rPr>
              <w:t>No se</w:t>
            </w:r>
            <w:r>
              <w:rPr>
                <w:rFonts w:ascii="Arial Narrow" w:hAnsi="Arial Narrow"/>
              </w:rPr>
              <w:t xml:space="preserve"> </w:t>
            </w:r>
            <w:r w:rsidRPr="5D8B6717">
              <w:rPr>
                <w:rFonts w:ascii="Arial Narrow" w:hAnsi="Arial Narrow"/>
              </w:rPr>
              <w:t>cumple</w:t>
            </w:r>
            <w:r>
              <w:rPr>
                <w:rFonts w:ascii="Arial Narrow" w:hAnsi="Arial Narrow"/>
              </w:rPr>
              <w:t xml:space="preserve"> en</w:t>
            </w:r>
          </w:p>
          <w:p w14:paraId="4639F13E" w14:textId="24EC0993" w:rsidR="00CA1162" w:rsidRPr="00723A0D" w:rsidRDefault="00CA1162" w:rsidP="00471CE4">
            <w:pPr>
              <w:pStyle w:val="Default"/>
              <w:rPr>
                <w:rFonts w:ascii="Arial Narrow" w:hAnsi="Arial Narrow"/>
              </w:rPr>
            </w:pPr>
            <w:r>
              <w:rPr>
                <w:rFonts w:ascii="Arial Narrow" w:hAnsi="Arial Narrow"/>
              </w:rPr>
              <w:t>todos los casos</w:t>
            </w:r>
          </w:p>
        </w:tc>
        <w:tc>
          <w:tcPr>
            <w:tcW w:w="3393" w:type="dxa"/>
            <w:vMerge w:val="restart"/>
            <w:tcBorders>
              <w:top w:val="single" w:sz="2" w:space="0" w:color="auto"/>
              <w:bottom w:val="single" w:sz="2" w:space="0" w:color="auto"/>
            </w:tcBorders>
            <w:vAlign w:val="center"/>
          </w:tcPr>
          <w:p w14:paraId="5164BBFA" w14:textId="1CD0BFDB" w:rsidR="00CA1162" w:rsidRPr="00E94F74" w:rsidRDefault="23E67147" w:rsidP="004A4BCF">
            <w:pPr>
              <w:pStyle w:val="Default"/>
              <w:ind w:right="-104"/>
              <w:jc w:val="both"/>
              <w:rPr>
                <w:rFonts w:ascii="Arial Narrow" w:hAnsi="Arial Narrow"/>
              </w:rPr>
            </w:pPr>
            <w:r w:rsidRPr="3896A6D9">
              <w:rPr>
                <w:rFonts w:ascii="Arial Narrow" w:hAnsi="Arial Narrow"/>
              </w:rPr>
              <w:t>Según datos del SIPSS, en 2.044 ocasiones se dieron de baja los expedientes de RG antes del final del periodo de concesión debido a que no se habían comunicado los cambios re</w:t>
            </w:r>
            <w:r w:rsidR="00393EB0">
              <w:rPr>
                <w:rFonts w:ascii="Arial Narrow" w:hAnsi="Arial Narrow"/>
              </w:rPr>
              <w:t>feridos a estas circunstancias</w:t>
            </w:r>
          </w:p>
        </w:tc>
      </w:tr>
      <w:tr w:rsidR="00CA1162" w14:paraId="6C28921D" w14:textId="77777777" w:rsidTr="004A4BCF">
        <w:trPr>
          <w:trHeight w:val="198"/>
        </w:trPr>
        <w:tc>
          <w:tcPr>
            <w:tcW w:w="3459" w:type="dxa"/>
            <w:tcBorders>
              <w:top w:val="single" w:sz="2" w:space="0" w:color="auto"/>
              <w:bottom w:val="single" w:sz="2" w:space="0" w:color="auto"/>
            </w:tcBorders>
            <w:vAlign w:val="center"/>
          </w:tcPr>
          <w:p w14:paraId="6C4E5B66" w14:textId="5DDBF7C2" w:rsidR="00CA1162" w:rsidRPr="00107795" w:rsidRDefault="00CA1162" w:rsidP="00F9751D">
            <w:pPr>
              <w:pStyle w:val="Default"/>
              <w:jc w:val="both"/>
              <w:rPr>
                <w:rFonts w:ascii="Arial Narrow" w:eastAsia="Calibri" w:hAnsi="Arial Narrow" w:cs="Times New Roman"/>
              </w:rPr>
            </w:pPr>
            <w:r w:rsidRPr="00107795">
              <w:rPr>
                <w:rFonts w:ascii="Arial Narrow" w:eastAsia="Calibri" w:hAnsi="Arial Narrow" w:cs="Times New Roman"/>
              </w:rPr>
              <w:t>Comunicar cualquier cambio de domicilio ha</w:t>
            </w:r>
            <w:r w:rsidR="00393EB0">
              <w:rPr>
                <w:rFonts w:ascii="Arial Narrow" w:eastAsia="Calibri" w:hAnsi="Arial Narrow" w:cs="Times New Roman"/>
              </w:rPr>
              <w:t>bitual de la unidad perceptora</w:t>
            </w:r>
          </w:p>
        </w:tc>
        <w:tc>
          <w:tcPr>
            <w:tcW w:w="1795" w:type="dxa"/>
            <w:vMerge/>
            <w:tcBorders>
              <w:bottom w:val="single" w:sz="2" w:space="0" w:color="auto"/>
            </w:tcBorders>
            <w:vAlign w:val="center"/>
          </w:tcPr>
          <w:p w14:paraId="1C2BA8D3" w14:textId="27739DF2" w:rsidR="00CA1162" w:rsidRPr="00723A0D" w:rsidRDefault="00CA1162" w:rsidP="00471CE4">
            <w:pPr>
              <w:pStyle w:val="Default"/>
              <w:rPr>
                <w:rFonts w:ascii="Arial Narrow" w:hAnsi="Arial Narrow"/>
              </w:rPr>
            </w:pPr>
          </w:p>
        </w:tc>
        <w:tc>
          <w:tcPr>
            <w:tcW w:w="3393" w:type="dxa"/>
            <w:vMerge/>
            <w:tcBorders>
              <w:bottom w:val="single" w:sz="2" w:space="0" w:color="auto"/>
            </w:tcBorders>
            <w:vAlign w:val="center"/>
          </w:tcPr>
          <w:p w14:paraId="3461D779" w14:textId="77777777" w:rsidR="00CA1162" w:rsidRPr="00E94F74" w:rsidRDefault="00CA1162" w:rsidP="004A4BCF">
            <w:pPr>
              <w:pStyle w:val="Default"/>
              <w:ind w:right="-104"/>
              <w:rPr>
                <w:rFonts w:ascii="Arial Narrow" w:hAnsi="Arial Narrow"/>
                <w:i/>
              </w:rPr>
            </w:pPr>
          </w:p>
        </w:tc>
      </w:tr>
      <w:tr w:rsidR="00162756" w14:paraId="4C9680EE" w14:textId="77777777" w:rsidTr="004A4BCF">
        <w:trPr>
          <w:trHeight w:val="198"/>
        </w:trPr>
        <w:tc>
          <w:tcPr>
            <w:tcW w:w="3459" w:type="dxa"/>
            <w:tcBorders>
              <w:top w:val="single" w:sz="2" w:space="0" w:color="auto"/>
            </w:tcBorders>
            <w:vAlign w:val="center"/>
          </w:tcPr>
          <w:p w14:paraId="49FEB7A8" w14:textId="77777777" w:rsidR="00162756" w:rsidRPr="00107795" w:rsidRDefault="00162756" w:rsidP="00F9751D">
            <w:pPr>
              <w:jc w:val="both"/>
              <w:rPr>
                <w:rFonts w:ascii="Arial Narrow" w:hAnsi="Arial Narrow"/>
                <w:sz w:val="20"/>
                <w:szCs w:val="20"/>
              </w:rPr>
            </w:pPr>
            <w:r w:rsidRPr="00107795">
              <w:rPr>
                <w:rFonts w:ascii="Arial Narrow" w:eastAsia="Calibri" w:hAnsi="Arial Narrow"/>
                <w:sz w:val="20"/>
                <w:szCs w:val="20"/>
              </w:rPr>
              <w:t>Reintegrar los abonos percibidos indebidamente</w:t>
            </w:r>
          </w:p>
        </w:tc>
        <w:tc>
          <w:tcPr>
            <w:tcW w:w="1795" w:type="dxa"/>
            <w:tcBorders>
              <w:top w:val="single" w:sz="2" w:space="0" w:color="auto"/>
            </w:tcBorders>
            <w:vAlign w:val="center"/>
          </w:tcPr>
          <w:p w14:paraId="1567C599" w14:textId="23E102A2" w:rsidR="00CA1162" w:rsidRDefault="43A094E0" w:rsidP="00471CE4">
            <w:pPr>
              <w:pStyle w:val="Default"/>
              <w:rPr>
                <w:rFonts w:ascii="Arial Narrow" w:hAnsi="Arial Narrow"/>
              </w:rPr>
            </w:pPr>
            <w:r w:rsidRPr="5D8B6717">
              <w:rPr>
                <w:rFonts w:ascii="Arial Narrow" w:hAnsi="Arial Narrow"/>
              </w:rPr>
              <w:t xml:space="preserve">No se cumple </w:t>
            </w:r>
            <w:r w:rsidR="00CA1162">
              <w:rPr>
                <w:rFonts w:ascii="Arial Narrow" w:hAnsi="Arial Narrow"/>
              </w:rPr>
              <w:t>en</w:t>
            </w:r>
          </w:p>
          <w:p w14:paraId="6A794E06" w14:textId="6EFA5A51" w:rsidR="00162756" w:rsidRPr="00723A0D" w:rsidRDefault="00CA1162" w:rsidP="00471CE4">
            <w:pPr>
              <w:pStyle w:val="Default"/>
              <w:rPr>
                <w:rFonts w:ascii="Arial Narrow" w:hAnsi="Arial Narrow"/>
              </w:rPr>
            </w:pPr>
            <w:r>
              <w:rPr>
                <w:rFonts w:ascii="Arial Narrow" w:hAnsi="Arial Narrow"/>
              </w:rPr>
              <w:t>todos los casos</w:t>
            </w:r>
          </w:p>
        </w:tc>
        <w:tc>
          <w:tcPr>
            <w:tcW w:w="3393" w:type="dxa"/>
            <w:tcBorders>
              <w:top w:val="single" w:sz="2" w:space="0" w:color="auto"/>
            </w:tcBorders>
            <w:vAlign w:val="center"/>
          </w:tcPr>
          <w:p w14:paraId="651F4878" w14:textId="7C7D6CAB" w:rsidR="00162756" w:rsidRPr="00E94F74" w:rsidRDefault="00A376A2" w:rsidP="00393EB0">
            <w:pPr>
              <w:pStyle w:val="Default"/>
              <w:ind w:right="-104"/>
              <w:jc w:val="both"/>
              <w:rPr>
                <w:rFonts w:ascii="Arial Narrow" w:hAnsi="Arial Narrow"/>
              </w:rPr>
            </w:pPr>
            <w:r w:rsidRPr="00E94F74">
              <w:rPr>
                <w:rFonts w:ascii="Arial Narrow" w:hAnsi="Arial Narrow"/>
              </w:rPr>
              <w:t>De los 14,79 millones cobrados indebidamente</w:t>
            </w:r>
            <w:r w:rsidR="008731E2">
              <w:rPr>
                <w:rFonts w:ascii="Arial Narrow" w:hAnsi="Arial Narrow"/>
              </w:rPr>
              <w:t>, si bien el departamento realizó las actuaciones correspondientes, solo</w:t>
            </w:r>
            <w:r w:rsidRPr="00E94F74">
              <w:rPr>
                <w:rFonts w:ascii="Arial Narrow" w:hAnsi="Arial Narrow"/>
              </w:rPr>
              <w:t xml:space="preserve"> se </w:t>
            </w:r>
            <w:r w:rsidR="008731E2">
              <w:rPr>
                <w:rFonts w:ascii="Arial Narrow" w:hAnsi="Arial Narrow"/>
              </w:rPr>
              <w:t xml:space="preserve">ha </w:t>
            </w:r>
            <w:r w:rsidRPr="00E94F74">
              <w:rPr>
                <w:rFonts w:ascii="Arial Narrow" w:hAnsi="Arial Narrow"/>
              </w:rPr>
              <w:t>reintegra</w:t>
            </w:r>
            <w:r w:rsidR="008731E2">
              <w:rPr>
                <w:rFonts w:ascii="Arial Narrow" w:hAnsi="Arial Narrow"/>
              </w:rPr>
              <w:t>do a la fecha de redacción de este informe</w:t>
            </w:r>
            <w:r w:rsidRPr="00E94F74">
              <w:rPr>
                <w:rFonts w:ascii="Arial Narrow" w:hAnsi="Arial Narrow"/>
              </w:rPr>
              <w:t xml:space="preserve"> el 67 por ciento</w:t>
            </w:r>
            <w:r w:rsidR="008731E2">
              <w:rPr>
                <w:rFonts w:ascii="Arial Narrow" w:hAnsi="Arial Narrow"/>
              </w:rPr>
              <w:t xml:space="preserve"> de dicho importe</w:t>
            </w:r>
            <w:r w:rsidRPr="00E94F74">
              <w:rPr>
                <w:rFonts w:ascii="Arial Narrow" w:hAnsi="Arial Narrow"/>
              </w:rPr>
              <w:t xml:space="preserve">  </w:t>
            </w:r>
          </w:p>
        </w:tc>
      </w:tr>
    </w:tbl>
    <w:p w14:paraId="7A635892" w14:textId="22801448" w:rsidR="00FC0FF0" w:rsidRDefault="43A094E0" w:rsidP="00F9751D">
      <w:pPr>
        <w:pStyle w:val="texto"/>
        <w:spacing w:before="240" w:after="140"/>
        <w:jc w:val="both"/>
      </w:pPr>
      <w:r w:rsidRPr="00466EF9">
        <w:lastRenderedPageBreak/>
        <w:t xml:space="preserve">En </w:t>
      </w:r>
      <w:r w:rsidRPr="00466EF9">
        <w:rPr>
          <w:b/>
          <w:bCs/>
        </w:rPr>
        <w:t>definitiva,</w:t>
      </w:r>
      <w:r w:rsidRPr="00466EF9">
        <w:t xml:space="preserve"> </w:t>
      </w:r>
      <w:r w:rsidR="00E94F74" w:rsidRPr="00466EF9">
        <w:t xml:space="preserve">existen incumplimientos en </w:t>
      </w:r>
      <w:r w:rsidR="00466EF9" w:rsidRPr="00466EF9">
        <w:t>cinco</w:t>
      </w:r>
      <w:r w:rsidR="009B5C9E" w:rsidRPr="00466EF9">
        <w:t xml:space="preserve"> </w:t>
      </w:r>
      <w:r w:rsidRPr="00466EF9">
        <w:t>obligaciones</w:t>
      </w:r>
      <w:r w:rsidR="4AF6964C" w:rsidRPr="00466EF9">
        <w:t xml:space="preserve"> </w:t>
      </w:r>
      <w:r w:rsidR="72C45D0F" w:rsidRPr="00466EF9">
        <w:t xml:space="preserve">de las unidades familiares perceptoras de RG sin que hayamos </w:t>
      </w:r>
      <w:r w:rsidR="00E94F74" w:rsidRPr="00466EF9">
        <w:t xml:space="preserve">podido verificar el cumplimiento de las </w:t>
      </w:r>
      <w:r w:rsidR="00466EF9" w:rsidRPr="00466EF9">
        <w:t>tres</w:t>
      </w:r>
      <w:r w:rsidR="009B5C9E" w:rsidRPr="00466EF9">
        <w:t xml:space="preserve"> </w:t>
      </w:r>
      <w:r w:rsidR="00E94F74" w:rsidRPr="00466EF9">
        <w:t>restantes.</w:t>
      </w:r>
    </w:p>
    <w:p w14:paraId="72BDC522" w14:textId="00904861" w:rsidR="00580445" w:rsidRPr="00F9751D" w:rsidRDefault="00D8689A" w:rsidP="00466EF9">
      <w:pPr>
        <w:pStyle w:val="atitulo3"/>
        <w:spacing w:before="240"/>
        <w:jc w:val="both"/>
      </w:pPr>
      <w:r>
        <w:t>III.1.2</w:t>
      </w:r>
      <w:r w:rsidR="00580445">
        <w:t xml:space="preserve"> Cumplimiento </w:t>
      </w:r>
      <w:r w:rsidR="7B471C61">
        <w:t xml:space="preserve">de </w:t>
      </w:r>
      <w:r w:rsidR="00580445">
        <w:t xml:space="preserve">obligaciones por parte </w:t>
      </w:r>
      <w:r w:rsidR="00832FE5">
        <w:t>de la Administración Pública</w:t>
      </w:r>
      <w:r w:rsidR="00723A0D">
        <w:t xml:space="preserve"> y Servicios Sociales de Base</w:t>
      </w:r>
      <w:r w:rsidR="3CCACAA8">
        <w:t xml:space="preserve"> del artículo</w:t>
      </w:r>
      <w:r>
        <w:t xml:space="preserve"> 34</w:t>
      </w:r>
      <w:r w:rsidR="090ED463">
        <w:t xml:space="preserve"> de la Ley Foral </w:t>
      </w:r>
      <w:r w:rsidR="00466EF9">
        <w:t>1</w:t>
      </w:r>
      <w:r w:rsidR="090ED463">
        <w:t>5/2016</w:t>
      </w:r>
    </w:p>
    <w:p w14:paraId="6CAF234E" w14:textId="5FDF3845" w:rsidR="00D479DA" w:rsidRDefault="4B0171A0" w:rsidP="00F9751D">
      <w:pPr>
        <w:pStyle w:val="texto"/>
        <w:spacing w:after="240"/>
        <w:jc w:val="both"/>
      </w:pPr>
      <w:r>
        <w:t xml:space="preserve">Hemos analizado el cumplimiento de </w:t>
      </w:r>
      <w:r w:rsidR="04937232">
        <w:t>sus</w:t>
      </w:r>
      <w:r>
        <w:t xml:space="preserve"> obligaciones por parte del departamento </w:t>
      </w:r>
      <w:r w:rsidR="32D499B3">
        <w:t xml:space="preserve">y los SSB </w:t>
      </w:r>
      <w:r>
        <w:t>relacionadas con la inclusión social obteniendo el siguiente resultado:</w:t>
      </w:r>
      <w:r w:rsidR="2FBFAD12">
        <w:t xml:space="preserve"> </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3474"/>
        <w:gridCol w:w="1792"/>
        <w:gridCol w:w="3523"/>
      </w:tblGrid>
      <w:tr w:rsidR="00D479DA" w:rsidRPr="00162756" w14:paraId="3C8027CC" w14:textId="77777777" w:rsidTr="000C0247">
        <w:trPr>
          <w:trHeight w:val="255"/>
        </w:trPr>
        <w:tc>
          <w:tcPr>
            <w:tcW w:w="3474" w:type="dxa"/>
            <w:shd w:val="clear" w:color="auto" w:fill="9CC2E5" w:themeFill="accent1" w:themeFillTint="99"/>
            <w:vAlign w:val="center"/>
          </w:tcPr>
          <w:p w14:paraId="194FE175" w14:textId="77777777" w:rsidR="00D479DA" w:rsidRPr="00162756" w:rsidRDefault="26CB1D67" w:rsidP="005E03F5">
            <w:pPr>
              <w:pStyle w:val="Default"/>
              <w:spacing w:after="40"/>
              <w:rPr>
                <w:rFonts w:ascii="Arial" w:hAnsi="Arial" w:cs="Arial"/>
                <w:sz w:val="18"/>
                <w:szCs w:val="18"/>
              </w:rPr>
            </w:pPr>
            <w:r w:rsidRPr="3896A6D9">
              <w:rPr>
                <w:rFonts w:ascii="Arial" w:hAnsi="Arial" w:cs="Arial"/>
                <w:sz w:val="18"/>
                <w:szCs w:val="18"/>
              </w:rPr>
              <w:t>Obligación</w:t>
            </w:r>
          </w:p>
        </w:tc>
        <w:tc>
          <w:tcPr>
            <w:tcW w:w="1792" w:type="dxa"/>
            <w:shd w:val="clear" w:color="auto" w:fill="9CC2E5" w:themeFill="accent1" w:themeFillTint="99"/>
            <w:vAlign w:val="center"/>
          </w:tcPr>
          <w:p w14:paraId="4EA6673A" w14:textId="77777777" w:rsidR="00D479DA" w:rsidRPr="00162756" w:rsidRDefault="00D479DA" w:rsidP="005E03F5">
            <w:pPr>
              <w:pStyle w:val="Default"/>
              <w:spacing w:after="40"/>
              <w:jc w:val="center"/>
              <w:rPr>
                <w:rFonts w:ascii="Arial" w:hAnsi="Arial" w:cs="Arial"/>
                <w:sz w:val="18"/>
                <w:szCs w:val="18"/>
              </w:rPr>
            </w:pPr>
            <w:r w:rsidRPr="00162756">
              <w:rPr>
                <w:rFonts w:ascii="Arial" w:hAnsi="Arial" w:cs="Arial"/>
                <w:sz w:val="18"/>
                <w:szCs w:val="18"/>
              </w:rPr>
              <w:t>Análisis del cumplimiento</w:t>
            </w:r>
          </w:p>
        </w:tc>
        <w:tc>
          <w:tcPr>
            <w:tcW w:w="3523" w:type="dxa"/>
            <w:shd w:val="clear" w:color="auto" w:fill="9CC2E5" w:themeFill="accent1" w:themeFillTint="99"/>
            <w:vAlign w:val="center"/>
          </w:tcPr>
          <w:p w14:paraId="07876119" w14:textId="77777777" w:rsidR="00D479DA" w:rsidRPr="00162756" w:rsidRDefault="00D479DA" w:rsidP="005E03F5">
            <w:pPr>
              <w:pStyle w:val="Default"/>
              <w:spacing w:after="40"/>
              <w:jc w:val="center"/>
              <w:rPr>
                <w:rFonts w:ascii="Arial" w:hAnsi="Arial" w:cs="Arial"/>
                <w:sz w:val="18"/>
                <w:szCs w:val="18"/>
              </w:rPr>
            </w:pPr>
            <w:r w:rsidRPr="00162756">
              <w:rPr>
                <w:rFonts w:ascii="Arial" w:hAnsi="Arial" w:cs="Arial"/>
                <w:sz w:val="18"/>
                <w:szCs w:val="18"/>
              </w:rPr>
              <w:t>Observaciones</w:t>
            </w:r>
          </w:p>
        </w:tc>
      </w:tr>
      <w:tr w:rsidR="00466EF9" w14:paraId="3C573B59" w14:textId="77777777" w:rsidTr="000C0247">
        <w:trPr>
          <w:trHeight w:val="255"/>
        </w:trPr>
        <w:tc>
          <w:tcPr>
            <w:tcW w:w="8789" w:type="dxa"/>
            <w:gridSpan w:val="3"/>
            <w:tcBorders>
              <w:bottom w:val="single" w:sz="4" w:space="0" w:color="auto"/>
            </w:tcBorders>
            <w:shd w:val="clear" w:color="auto" w:fill="9CC2E5" w:themeFill="accent1" w:themeFillTint="99"/>
            <w:vAlign w:val="center"/>
          </w:tcPr>
          <w:p w14:paraId="5EDF6CA1" w14:textId="3A3EB463" w:rsidR="00466EF9" w:rsidRPr="5D8B6717" w:rsidRDefault="00466EF9" w:rsidP="00466EF9">
            <w:pPr>
              <w:pStyle w:val="Default"/>
              <w:jc w:val="center"/>
              <w:rPr>
                <w:rFonts w:ascii="Arial Narrow" w:hAnsi="Arial Narrow"/>
              </w:rPr>
            </w:pPr>
            <w:r>
              <w:rPr>
                <w:rFonts w:ascii="Arial Narrow" w:hAnsi="Arial Narrow"/>
              </w:rPr>
              <w:t>Servicios Sociales de Base</w:t>
            </w:r>
          </w:p>
        </w:tc>
      </w:tr>
      <w:tr w:rsidR="00D479DA" w14:paraId="14D323A5" w14:textId="77777777" w:rsidTr="000C0247">
        <w:trPr>
          <w:trHeight w:val="198"/>
        </w:trPr>
        <w:tc>
          <w:tcPr>
            <w:tcW w:w="3474" w:type="dxa"/>
            <w:tcBorders>
              <w:top w:val="single" w:sz="4" w:space="0" w:color="auto"/>
              <w:bottom w:val="single" w:sz="2" w:space="0" w:color="auto"/>
            </w:tcBorders>
            <w:vAlign w:val="center"/>
          </w:tcPr>
          <w:p w14:paraId="2C725F27" w14:textId="29E88068" w:rsidR="00D479DA" w:rsidRPr="00107795" w:rsidRDefault="26CB1D67" w:rsidP="00C21F74">
            <w:pPr>
              <w:pStyle w:val="Default"/>
              <w:jc w:val="both"/>
              <w:rPr>
                <w:rFonts w:ascii="Arial Narrow" w:eastAsia="Calibri" w:hAnsi="Arial Narrow" w:cs="Times New Roman"/>
              </w:rPr>
            </w:pPr>
            <w:r w:rsidRPr="3896A6D9">
              <w:rPr>
                <w:rFonts w:ascii="Arial Narrow" w:eastAsia="Calibri" w:hAnsi="Arial Narrow" w:cs="Times New Roman"/>
              </w:rPr>
              <w:t>A las unidades familiares</w:t>
            </w:r>
            <w:r w:rsidR="76032B9A" w:rsidRPr="3896A6D9">
              <w:rPr>
                <w:rFonts w:ascii="Arial Narrow" w:eastAsia="Calibri" w:hAnsi="Arial Narrow" w:cs="Times New Roman"/>
              </w:rPr>
              <w:t xml:space="preserve"> que solicitan</w:t>
            </w:r>
            <w:r w:rsidRPr="3896A6D9">
              <w:rPr>
                <w:rFonts w:ascii="Arial Narrow" w:eastAsia="Calibri" w:hAnsi="Arial Narrow" w:cs="Times New Roman"/>
              </w:rPr>
              <w:t xml:space="preserve"> por primera vez de la RG se les informará y orientará para que puedan ejercer el derecho a un proceso pe</w:t>
            </w:r>
            <w:r w:rsidR="00393EB0">
              <w:rPr>
                <w:rFonts w:ascii="Arial Narrow" w:eastAsia="Calibri" w:hAnsi="Arial Narrow" w:cs="Times New Roman"/>
              </w:rPr>
              <w:t>rsonalizado de inclusión social</w:t>
            </w:r>
          </w:p>
        </w:tc>
        <w:tc>
          <w:tcPr>
            <w:tcW w:w="1792" w:type="dxa"/>
            <w:tcBorders>
              <w:top w:val="single" w:sz="4" w:space="0" w:color="auto"/>
              <w:bottom w:val="single" w:sz="2" w:space="0" w:color="auto"/>
            </w:tcBorders>
            <w:vAlign w:val="center"/>
          </w:tcPr>
          <w:p w14:paraId="1D678857" w14:textId="58FCE641" w:rsidR="00D479DA" w:rsidRPr="00723A0D" w:rsidRDefault="00D479DA" w:rsidP="00F9751D">
            <w:pPr>
              <w:pStyle w:val="Default"/>
              <w:jc w:val="center"/>
              <w:rPr>
                <w:rFonts w:ascii="Arial Narrow" w:hAnsi="Arial Narrow"/>
              </w:rPr>
            </w:pPr>
            <w:r w:rsidRPr="00723A0D">
              <w:rPr>
                <w:rFonts w:ascii="Arial Narrow" w:hAnsi="Arial Narrow"/>
              </w:rPr>
              <w:t>Se cumple</w:t>
            </w:r>
          </w:p>
        </w:tc>
        <w:tc>
          <w:tcPr>
            <w:tcW w:w="3523" w:type="dxa"/>
            <w:tcBorders>
              <w:top w:val="single" w:sz="4" w:space="0" w:color="auto"/>
              <w:bottom w:val="single" w:sz="2" w:space="0" w:color="auto"/>
            </w:tcBorders>
            <w:vAlign w:val="center"/>
          </w:tcPr>
          <w:p w14:paraId="50A6221F" w14:textId="0293E354" w:rsidR="00D479DA" w:rsidRPr="00723A0D" w:rsidRDefault="0027110E" w:rsidP="00E371C2">
            <w:pPr>
              <w:pStyle w:val="Default"/>
              <w:jc w:val="both"/>
              <w:rPr>
                <w:rFonts w:ascii="Arial Narrow" w:hAnsi="Arial Narrow"/>
                <w:i/>
                <w:iCs/>
              </w:rPr>
            </w:pPr>
            <w:r>
              <w:rPr>
                <w:rFonts w:ascii="Arial Narrow" w:hAnsi="Arial Narrow"/>
                <w:i/>
                <w:iCs/>
              </w:rPr>
              <w:t>-</w:t>
            </w:r>
          </w:p>
        </w:tc>
      </w:tr>
      <w:tr w:rsidR="00D479DA" w14:paraId="708F9AEA" w14:textId="77777777" w:rsidTr="004A4BCF">
        <w:trPr>
          <w:trHeight w:val="198"/>
        </w:trPr>
        <w:tc>
          <w:tcPr>
            <w:tcW w:w="3474" w:type="dxa"/>
            <w:tcBorders>
              <w:top w:val="single" w:sz="2" w:space="0" w:color="auto"/>
              <w:bottom w:val="single" w:sz="2" w:space="0" w:color="auto"/>
            </w:tcBorders>
            <w:vAlign w:val="center"/>
          </w:tcPr>
          <w:p w14:paraId="6D8BC738" w14:textId="0F599E73" w:rsidR="00D479DA" w:rsidRPr="00107795" w:rsidRDefault="00BE284A" w:rsidP="00C21F74">
            <w:pPr>
              <w:pStyle w:val="Default"/>
              <w:jc w:val="both"/>
              <w:rPr>
                <w:rFonts w:ascii="Arial Narrow" w:eastAsia="Calibri" w:hAnsi="Arial Narrow" w:cs="Times New Roman"/>
              </w:rPr>
            </w:pPr>
            <w:r w:rsidRPr="00107795">
              <w:rPr>
                <w:rFonts w:ascii="Arial Narrow" w:eastAsia="Calibri" w:hAnsi="Arial Narrow" w:cs="Times New Roman"/>
              </w:rPr>
              <w:t>Si</w:t>
            </w:r>
            <w:r w:rsidR="00D479DA" w:rsidRPr="00107795">
              <w:rPr>
                <w:rFonts w:ascii="Arial Narrow" w:eastAsia="Calibri" w:hAnsi="Arial Narrow" w:cs="Times New Roman"/>
              </w:rPr>
              <w:t xml:space="preserve"> la unidad familiar ha sido perceptora de RG por un periodo superior a un año ininterrumpido </w:t>
            </w:r>
            <w:r w:rsidRPr="00107795">
              <w:rPr>
                <w:rFonts w:ascii="Arial Narrow" w:eastAsia="Calibri" w:hAnsi="Arial Narrow" w:cs="Times New Roman"/>
              </w:rPr>
              <w:t>sin</w:t>
            </w:r>
            <w:r w:rsidR="00D479DA" w:rsidRPr="00107795">
              <w:rPr>
                <w:rFonts w:ascii="Arial Narrow" w:eastAsia="Calibri" w:hAnsi="Arial Narrow" w:cs="Times New Roman"/>
              </w:rPr>
              <w:t xml:space="preserve"> modificación de la renta percibida por razón de cambio en su situación económica, se deberá llevar a cabo el proceso personalizado de inclusión soci</w:t>
            </w:r>
            <w:r w:rsidR="00393EB0">
              <w:rPr>
                <w:rFonts w:ascii="Arial Narrow" w:eastAsia="Calibri" w:hAnsi="Arial Narrow" w:cs="Times New Roman"/>
              </w:rPr>
              <w:t>al</w:t>
            </w:r>
          </w:p>
        </w:tc>
        <w:tc>
          <w:tcPr>
            <w:tcW w:w="1792" w:type="dxa"/>
            <w:tcBorders>
              <w:top w:val="single" w:sz="2" w:space="0" w:color="auto"/>
              <w:bottom w:val="single" w:sz="2" w:space="0" w:color="auto"/>
            </w:tcBorders>
            <w:vAlign w:val="center"/>
          </w:tcPr>
          <w:p w14:paraId="5D605037" w14:textId="791A3A21" w:rsidR="00D479DA" w:rsidRPr="00723A0D" w:rsidRDefault="00D479DA" w:rsidP="00F9751D">
            <w:pPr>
              <w:pStyle w:val="Default"/>
              <w:jc w:val="center"/>
              <w:rPr>
                <w:rFonts w:ascii="Arial Narrow" w:hAnsi="Arial Narrow"/>
              </w:rPr>
            </w:pPr>
            <w:r w:rsidRPr="00723A0D">
              <w:rPr>
                <w:rFonts w:ascii="Arial Narrow" w:hAnsi="Arial Narrow"/>
              </w:rPr>
              <w:t>Se cumple</w:t>
            </w:r>
          </w:p>
        </w:tc>
        <w:tc>
          <w:tcPr>
            <w:tcW w:w="3523" w:type="dxa"/>
            <w:tcBorders>
              <w:top w:val="single" w:sz="2" w:space="0" w:color="auto"/>
              <w:bottom w:val="single" w:sz="2" w:space="0" w:color="auto"/>
            </w:tcBorders>
            <w:vAlign w:val="center"/>
          </w:tcPr>
          <w:p w14:paraId="2E187D8C" w14:textId="4D41138E" w:rsidR="00D479DA" w:rsidRPr="00723A0D" w:rsidRDefault="0027110E" w:rsidP="00BE284A">
            <w:pPr>
              <w:pStyle w:val="Default"/>
              <w:jc w:val="both"/>
              <w:rPr>
                <w:rFonts w:ascii="Arial Narrow" w:hAnsi="Arial Narrow"/>
              </w:rPr>
            </w:pPr>
            <w:r>
              <w:rPr>
                <w:rFonts w:ascii="Arial Narrow" w:hAnsi="Arial Narrow"/>
              </w:rPr>
              <w:t>-</w:t>
            </w:r>
          </w:p>
        </w:tc>
      </w:tr>
      <w:tr w:rsidR="00D479DA" w14:paraId="437F5F25" w14:textId="77777777" w:rsidTr="004A4BCF">
        <w:trPr>
          <w:trHeight w:val="198"/>
        </w:trPr>
        <w:tc>
          <w:tcPr>
            <w:tcW w:w="3474" w:type="dxa"/>
            <w:tcBorders>
              <w:top w:val="single" w:sz="2" w:space="0" w:color="auto"/>
              <w:bottom w:val="single" w:sz="4" w:space="0" w:color="auto"/>
            </w:tcBorders>
            <w:vAlign w:val="center"/>
          </w:tcPr>
          <w:p w14:paraId="037207C0" w14:textId="34CF16A0" w:rsidR="00D479DA" w:rsidRPr="00107795" w:rsidRDefault="00D479DA" w:rsidP="00C21F74">
            <w:pPr>
              <w:pStyle w:val="Default"/>
              <w:jc w:val="both"/>
              <w:rPr>
                <w:rFonts w:ascii="Arial Narrow" w:eastAsia="Calibri" w:hAnsi="Arial Narrow" w:cs="Times New Roman"/>
              </w:rPr>
            </w:pPr>
            <w:r w:rsidRPr="00107795">
              <w:rPr>
                <w:rFonts w:ascii="Arial Narrow" w:eastAsia="Calibri" w:hAnsi="Arial Narrow" w:cs="Times New Roman"/>
              </w:rPr>
              <w:t xml:space="preserve">En todos aquellos casos en que, para la tramitación de la solicitud de RG, se precise realizar un co-diagnóstico y programa personalizado de inclusión social, el sistema de seguimiento en él contenido contemplará revisiones de la situación en </w:t>
            </w:r>
            <w:r w:rsidR="00393EB0">
              <w:rPr>
                <w:rFonts w:ascii="Arial Narrow" w:eastAsia="Calibri" w:hAnsi="Arial Narrow" w:cs="Times New Roman"/>
              </w:rPr>
              <w:t>periodos de al menos seis meses</w:t>
            </w:r>
          </w:p>
        </w:tc>
        <w:tc>
          <w:tcPr>
            <w:tcW w:w="1792" w:type="dxa"/>
            <w:tcBorders>
              <w:top w:val="single" w:sz="2" w:space="0" w:color="auto"/>
              <w:bottom w:val="single" w:sz="4" w:space="0" w:color="auto"/>
            </w:tcBorders>
            <w:vAlign w:val="center"/>
          </w:tcPr>
          <w:p w14:paraId="7C1364D7" w14:textId="5278C2ED" w:rsidR="00D479DA" w:rsidRPr="00723A0D" w:rsidRDefault="009B5C9E" w:rsidP="00F9751D">
            <w:pPr>
              <w:pStyle w:val="Default"/>
              <w:jc w:val="center"/>
              <w:rPr>
                <w:rFonts w:ascii="Arial Narrow" w:hAnsi="Arial Narrow"/>
              </w:rPr>
            </w:pPr>
            <w:r>
              <w:rPr>
                <w:rFonts w:ascii="Arial Narrow" w:hAnsi="Arial Narrow"/>
              </w:rPr>
              <w:t>No podemos opinar</w:t>
            </w:r>
          </w:p>
        </w:tc>
        <w:tc>
          <w:tcPr>
            <w:tcW w:w="3523" w:type="dxa"/>
            <w:tcBorders>
              <w:top w:val="single" w:sz="2" w:space="0" w:color="auto"/>
              <w:bottom w:val="single" w:sz="4" w:space="0" w:color="auto"/>
            </w:tcBorders>
            <w:vAlign w:val="center"/>
          </w:tcPr>
          <w:p w14:paraId="4CC9F546" w14:textId="45405A06" w:rsidR="00D479DA" w:rsidRPr="00723A0D" w:rsidRDefault="009B5C9E" w:rsidP="009B5C9E">
            <w:pPr>
              <w:pStyle w:val="Default"/>
              <w:jc w:val="both"/>
              <w:rPr>
                <w:rFonts w:ascii="Arial Narrow" w:hAnsi="Arial Narrow"/>
              </w:rPr>
            </w:pPr>
            <w:r>
              <w:rPr>
                <w:rFonts w:ascii="Arial Narrow" w:hAnsi="Arial Narrow"/>
              </w:rPr>
              <w:t>Si bien los SSB indican que realizan este seguimiento fundamentalmente con personas disponibles para el empleo, no hemos podido obtener evidencia suficiente y adecuada del mismo</w:t>
            </w:r>
          </w:p>
        </w:tc>
      </w:tr>
      <w:tr w:rsidR="00466EF9" w14:paraId="7B43D7BB" w14:textId="77777777" w:rsidTr="00073EE4">
        <w:trPr>
          <w:trHeight w:val="198"/>
        </w:trPr>
        <w:tc>
          <w:tcPr>
            <w:tcW w:w="3474" w:type="dxa"/>
            <w:tcBorders>
              <w:top w:val="single" w:sz="4" w:space="0" w:color="auto"/>
              <w:bottom w:val="single" w:sz="4" w:space="0" w:color="auto"/>
            </w:tcBorders>
            <w:vAlign w:val="center"/>
          </w:tcPr>
          <w:p w14:paraId="2BDC4E81" w14:textId="77777777" w:rsidR="00466EF9" w:rsidRPr="00107795" w:rsidRDefault="00466EF9" w:rsidP="00C21F74">
            <w:pPr>
              <w:pStyle w:val="Default"/>
              <w:jc w:val="both"/>
              <w:rPr>
                <w:rFonts w:ascii="Arial Narrow" w:eastAsia="Calibri" w:hAnsi="Arial Narrow" w:cs="Times New Roman"/>
              </w:rPr>
            </w:pPr>
          </w:p>
        </w:tc>
        <w:tc>
          <w:tcPr>
            <w:tcW w:w="1792" w:type="dxa"/>
            <w:tcBorders>
              <w:top w:val="single" w:sz="4" w:space="0" w:color="auto"/>
              <w:bottom w:val="single" w:sz="4" w:space="0" w:color="auto"/>
            </w:tcBorders>
            <w:vAlign w:val="center"/>
          </w:tcPr>
          <w:p w14:paraId="3DBC83A7" w14:textId="77777777" w:rsidR="00466EF9" w:rsidRDefault="00466EF9" w:rsidP="00F9751D">
            <w:pPr>
              <w:pStyle w:val="Default"/>
              <w:jc w:val="center"/>
              <w:rPr>
                <w:rFonts w:ascii="Arial Narrow" w:hAnsi="Arial Narrow"/>
              </w:rPr>
            </w:pPr>
          </w:p>
        </w:tc>
        <w:tc>
          <w:tcPr>
            <w:tcW w:w="3523" w:type="dxa"/>
            <w:tcBorders>
              <w:top w:val="single" w:sz="4" w:space="0" w:color="auto"/>
              <w:bottom w:val="single" w:sz="4" w:space="0" w:color="auto"/>
            </w:tcBorders>
            <w:vAlign w:val="center"/>
          </w:tcPr>
          <w:p w14:paraId="041380E1" w14:textId="77777777" w:rsidR="00466EF9" w:rsidRDefault="00466EF9" w:rsidP="009B5C9E">
            <w:pPr>
              <w:pStyle w:val="Default"/>
              <w:jc w:val="both"/>
              <w:rPr>
                <w:rFonts w:ascii="Arial Narrow" w:hAnsi="Arial Narrow"/>
              </w:rPr>
            </w:pPr>
          </w:p>
        </w:tc>
      </w:tr>
      <w:tr w:rsidR="00466EF9" w14:paraId="53A2BF6A" w14:textId="77777777" w:rsidTr="00073EE4">
        <w:trPr>
          <w:trHeight w:val="255"/>
        </w:trPr>
        <w:tc>
          <w:tcPr>
            <w:tcW w:w="8789" w:type="dxa"/>
            <w:gridSpan w:val="3"/>
            <w:tcBorders>
              <w:top w:val="single" w:sz="4" w:space="0" w:color="auto"/>
              <w:bottom w:val="single" w:sz="4" w:space="0" w:color="auto"/>
            </w:tcBorders>
            <w:shd w:val="clear" w:color="auto" w:fill="9CC2E5" w:themeFill="accent1" w:themeFillTint="99"/>
            <w:vAlign w:val="center"/>
          </w:tcPr>
          <w:p w14:paraId="0B944EE1" w14:textId="6374F2E9" w:rsidR="00466EF9" w:rsidRDefault="00832FE5" w:rsidP="00832FE5">
            <w:pPr>
              <w:pStyle w:val="Default"/>
              <w:jc w:val="center"/>
              <w:rPr>
                <w:rFonts w:ascii="Arial Narrow" w:hAnsi="Arial Narrow"/>
              </w:rPr>
            </w:pPr>
            <w:r>
              <w:rPr>
                <w:rFonts w:ascii="Arial Narrow" w:hAnsi="Arial Narrow"/>
              </w:rPr>
              <w:t xml:space="preserve">Administración Pública </w:t>
            </w:r>
          </w:p>
        </w:tc>
      </w:tr>
      <w:tr w:rsidR="00466EF9" w14:paraId="410524D3" w14:textId="77777777" w:rsidTr="00073EE4">
        <w:trPr>
          <w:trHeight w:val="198"/>
        </w:trPr>
        <w:tc>
          <w:tcPr>
            <w:tcW w:w="3474" w:type="dxa"/>
            <w:tcBorders>
              <w:top w:val="single" w:sz="4" w:space="0" w:color="auto"/>
              <w:bottom w:val="single" w:sz="4" w:space="0" w:color="auto"/>
            </w:tcBorders>
            <w:vAlign w:val="center"/>
          </w:tcPr>
          <w:p w14:paraId="1515B11C" w14:textId="516FAD45" w:rsidR="00466EF9" w:rsidRPr="00107795" w:rsidRDefault="00466EF9" w:rsidP="00466EF9">
            <w:pPr>
              <w:pStyle w:val="Default"/>
              <w:jc w:val="both"/>
              <w:rPr>
                <w:rFonts w:ascii="Arial Narrow" w:eastAsia="Calibri" w:hAnsi="Arial Narrow" w:cs="Times New Roman"/>
              </w:rPr>
            </w:pPr>
            <w:r w:rsidRPr="00107795">
              <w:rPr>
                <w:rFonts w:ascii="Arial Narrow" w:eastAsia="Calibri" w:hAnsi="Arial Narrow" w:cs="Times New Roman"/>
              </w:rPr>
              <w:t>En el caso de que la unidad familiar haya sido perceptora de RG por un periodo continuo de al menos 24 meses, la Administración Pública</w:t>
            </w:r>
            <w:r w:rsidR="008731E2">
              <w:rPr>
                <w:rStyle w:val="Refdenotaalpie"/>
                <w:rFonts w:ascii="Arial Narrow" w:eastAsia="Calibri" w:hAnsi="Arial Narrow" w:cs="Times New Roman"/>
              </w:rPr>
              <w:footnoteReference w:id="4"/>
            </w:r>
            <w:r w:rsidRPr="00107795">
              <w:rPr>
                <w:rFonts w:ascii="Arial Narrow" w:eastAsia="Calibri" w:hAnsi="Arial Narrow" w:cs="Times New Roman"/>
              </w:rPr>
              <w:t xml:space="preserve"> correspondiente deberá ofertarle, en su caso, al menos la posibilidad de participar en un programa de Empleo Social Protegido u otra</w:t>
            </w:r>
            <w:r w:rsidR="00393EB0">
              <w:rPr>
                <w:rFonts w:ascii="Arial Narrow" w:eastAsia="Calibri" w:hAnsi="Arial Narrow" w:cs="Times New Roman"/>
              </w:rPr>
              <w:t xml:space="preserve"> opción de empleo y/o formación</w:t>
            </w:r>
          </w:p>
        </w:tc>
        <w:tc>
          <w:tcPr>
            <w:tcW w:w="1792" w:type="dxa"/>
            <w:tcBorders>
              <w:top w:val="single" w:sz="4" w:space="0" w:color="auto"/>
              <w:bottom w:val="single" w:sz="4" w:space="0" w:color="auto"/>
            </w:tcBorders>
            <w:vAlign w:val="center"/>
          </w:tcPr>
          <w:p w14:paraId="14CAA728" w14:textId="649DD2C3" w:rsidR="00466EF9" w:rsidRPr="00C21F74" w:rsidRDefault="00A4549F" w:rsidP="00466EF9">
            <w:pPr>
              <w:pStyle w:val="Default"/>
              <w:jc w:val="center"/>
              <w:rPr>
                <w:rFonts w:ascii="Arial Narrow" w:hAnsi="Arial Narrow"/>
              </w:rPr>
            </w:pPr>
            <w:r>
              <w:rPr>
                <w:rFonts w:ascii="Arial Narrow" w:hAnsi="Arial Narrow"/>
              </w:rPr>
              <w:t>No podemos opinar</w:t>
            </w:r>
          </w:p>
          <w:p w14:paraId="3D7B77AF" w14:textId="77777777" w:rsidR="00466EF9" w:rsidRPr="00723A0D" w:rsidRDefault="00466EF9" w:rsidP="00466EF9">
            <w:pPr>
              <w:pStyle w:val="Default"/>
              <w:jc w:val="center"/>
              <w:rPr>
                <w:rFonts w:ascii="Arial Narrow" w:hAnsi="Arial Narrow"/>
              </w:rPr>
            </w:pPr>
          </w:p>
        </w:tc>
        <w:tc>
          <w:tcPr>
            <w:tcW w:w="3523" w:type="dxa"/>
            <w:tcBorders>
              <w:top w:val="single" w:sz="4" w:space="0" w:color="auto"/>
              <w:bottom w:val="single" w:sz="4" w:space="0" w:color="auto"/>
            </w:tcBorders>
            <w:vAlign w:val="center"/>
          </w:tcPr>
          <w:p w14:paraId="44AB395C" w14:textId="3D17CC0D" w:rsidR="00354D22" w:rsidRDefault="00466EF9" w:rsidP="00354D22">
            <w:pPr>
              <w:pStyle w:val="Default"/>
              <w:jc w:val="both"/>
              <w:rPr>
                <w:rFonts w:ascii="Arial Narrow" w:hAnsi="Arial Narrow"/>
              </w:rPr>
            </w:pPr>
            <w:r>
              <w:rPr>
                <w:rFonts w:ascii="Arial Narrow" w:hAnsi="Arial Narrow"/>
              </w:rPr>
              <w:t>Según la información proporcionada por el SNE</w:t>
            </w:r>
            <w:r w:rsidR="00DE7E31">
              <w:rPr>
                <w:rFonts w:ascii="Arial Narrow" w:hAnsi="Arial Narrow"/>
              </w:rPr>
              <w:t xml:space="preserve"> y el Departamento de Educación</w:t>
            </w:r>
            <w:r>
              <w:rPr>
                <w:rFonts w:ascii="Arial Narrow" w:hAnsi="Arial Narrow"/>
              </w:rPr>
              <w:t xml:space="preserve">, </w:t>
            </w:r>
            <w:r w:rsidR="001C6523">
              <w:rPr>
                <w:rFonts w:ascii="Arial Narrow" w:hAnsi="Arial Narrow"/>
              </w:rPr>
              <w:t xml:space="preserve">si bien el 91 por ciento de </w:t>
            </w:r>
            <w:r w:rsidRPr="00723A0D">
              <w:rPr>
                <w:rFonts w:ascii="Arial Narrow" w:hAnsi="Arial Narrow"/>
              </w:rPr>
              <w:t xml:space="preserve">las </w:t>
            </w:r>
            <w:r w:rsidR="00354D22">
              <w:rPr>
                <w:rFonts w:ascii="Arial Narrow" w:hAnsi="Arial Narrow"/>
              </w:rPr>
              <w:t>11.</w:t>
            </w:r>
            <w:r w:rsidR="003D5D77">
              <w:rPr>
                <w:rFonts w:ascii="Arial Narrow" w:hAnsi="Arial Narrow"/>
              </w:rPr>
              <w:t>945</w:t>
            </w:r>
            <w:r w:rsidR="003D5D77">
              <w:rPr>
                <w:rStyle w:val="Refdenotaalpie"/>
                <w:rFonts w:ascii="Arial Narrow" w:hAnsi="Arial Narrow"/>
              </w:rPr>
              <w:footnoteReference w:id="5"/>
            </w:r>
            <w:r w:rsidRPr="00723A0D">
              <w:rPr>
                <w:rFonts w:ascii="Arial Narrow" w:hAnsi="Arial Narrow"/>
              </w:rPr>
              <w:t xml:space="preserve"> personas en esta situación</w:t>
            </w:r>
            <w:r w:rsidR="001C6523">
              <w:rPr>
                <w:rFonts w:ascii="Arial Narrow" w:hAnsi="Arial Narrow"/>
              </w:rPr>
              <w:t xml:space="preserve"> recibieron orientación</w:t>
            </w:r>
            <w:r w:rsidRPr="00723A0D">
              <w:rPr>
                <w:rFonts w:ascii="Arial Narrow" w:hAnsi="Arial Narrow"/>
              </w:rPr>
              <w:t xml:space="preserve">, </w:t>
            </w:r>
            <w:r w:rsidR="007B6491">
              <w:rPr>
                <w:rFonts w:ascii="Arial Narrow" w:hAnsi="Arial Narrow"/>
              </w:rPr>
              <w:t xml:space="preserve">fueron contratadas el 53 por ciento de las personas y recibió </w:t>
            </w:r>
            <w:r w:rsidR="00DE7E31">
              <w:rPr>
                <w:rFonts w:ascii="Arial Narrow" w:hAnsi="Arial Narrow"/>
              </w:rPr>
              <w:t xml:space="preserve">formación </w:t>
            </w:r>
            <w:r w:rsidR="007B6491">
              <w:rPr>
                <w:rFonts w:ascii="Arial Narrow" w:hAnsi="Arial Narrow"/>
              </w:rPr>
              <w:t xml:space="preserve">el </w:t>
            </w:r>
            <w:r w:rsidR="00354D22">
              <w:rPr>
                <w:rFonts w:ascii="Arial Narrow" w:hAnsi="Arial Narrow"/>
              </w:rPr>
              <w:t>3</w:t>
            </w:r>
            <w:r w:rsidR="001C6523">
              <w:rPr>
                <w:rFonts w:ascii="Arial Narrow" w:hAnsi="Arial Narrow"/>
              </w:rPr>
              <w:t>8</w:t>
            </w:r>
            <w:r w:rsidR="00354D22">
              <w:rPr>
                <w:rFonts w:ascii="Arial Narrow" w:hAnsi="Arial Narrow"/>
              </w:rPr>
              <w:t xml:space="preserve"> por ciento</w:t>
            </w:r>
            <w:r w:rsidR="00A4549F">
              <w:rPr>
                <w:rFonts w:ascii="Arial Narrow" w:hAnsi="Arial Narrow"/>
              </w:rPr>
              <w:t xml:space="preserve"> </w:t>
            </w:r>
            <w:r w:rsidR="007B6491">
              <w:rPr>
                <w:rFonts w:ascii="Arial Narrow" w:hAnsi="Arial Narrow"/>
              </w:rPr>
              <w:t>de las mismas</w:t>
            </w:r>
            <w:r w:rsidR="00354D22">
              <w:rPr>
                <w:rFonts w:ascii="Arial Narrow" w:hAnsi="Arial Narrow"/>
              </w:rPr>
              <w:t xml:space="preserve">. </w:t>
            </w:r>
          </w:p>
          <w:p w14:paraId="77C44E84" w14:textId="7A93E7AD" w:rsidR="00466EF9" w:rsidRPr="00723A0D" w:rsidRDefault="00354D22" w:rsidP="001C6523">
            <w:pPr>
              <w:pStyle w:val="Default"/>
              <w:jc w:val="both"/>
              <w:rPr>
                <w:rFonts w:ascii="Arial Narrow" w:hAnsi="Arial Narrow"/>
              </w:rPr>
            </w:pPr>
            <w:r>
              <w:rPr>
                <w:rFonts w:ascii="Arial Narrow" w:hAnsi="Arial Narrow"/>
              </w:rPr>
              <w:t xml:space="preserve">Considerando estos datos, el </w:t>
            </w:r>
            <w:r w:rsidR="001C6523" w:rsidRPr="00D66676">
              <w:rPr>
                <w:rFonts w:ascii="Arial Narrow" w:hAnsi="Arial Narrow"/>
              </w:rPr>
              <w:t>67</w:t>
            </w:r>
            <w:r>
              <w:rPr>
                <w:rFonts w:ascii="Arial Narrow" w:hAnsi="Arial Narrow"/>
              </w:rPr>
              <w:t xml:space="preserve"> por ciento de las personas recibió una cosa u </w:t>
            </w:r>
            <w:r w:rsidR="00393EB0">
              <w:rPr>
                <w:rFonts w:ascii="Arial Narrow" w:hAnsi="Arial Narrow"/>
              </w:rPr>
              <w:t>otra</w:t>
            </w:r>
            <w:r w:rsidR="00D66676">
              <w:rPr>
                <w:rFonts w:ascii="Arial Narrow" w:hAnsi="Arial Narrow"/>
              </w:rPr>
              <w:t xml:space="preserve">, pero al no disponer de la información sobre las ofertas de empleo </w:t>
            </w:r>
            <w:r w:rsidR="007B6491">
              <w:rPr>
                <w:rFonts w:ascii="Arial Narrow" w:hAnsi="Arial Narrow"/>
              </w:rPr>
              <w:t xml:space="preserve">y formación </w:t>
            </w:r>
            <w:r w:rsidR="00D66676">
              <w:rPr>
                <w:rFonts w:ascii="Arial Narrow" w:hAnsi="Arial Narrow"/>
              </w:rPr>
              <w:t>rechazadas, no tenemos evidencia suficiente para concluir sobre el cumplimiento de esta parte del artículo 34</w:t>
            </w:r>
            <w:r w:rsidR="007B6491">
              <w:rPr>
                <w:rFonts w:ascii="Arial Narrow" w:hAnsi="Arial Narrow"/>
              </w:rPr>
              <w:t xml:space="preserve"> en todos los casos</w:t>
            </w:r>
          </w:p>
        </w:tc>
      </w:tr>
    </w:tbl>
    <w:p w14:paraId="60B12F00" w14:textId="4BCF8242" w:rsidR="00FC0FF0" w:rsidRPr="00FC0FF0" w:rsidRDefault="737864F4" w:rsidP="00DB1FB1">
      <w:pPr>
        <w:pStyle w:val="texto"/>
        <w:spacing w:before="240" w:after="140"/>
        <w:jc w:val="both"/>
      </w:pPr>
      <w:r w:rsidRPr="00354D22">
        <w:lastRenderedPageBreak/>
        <w:t xml:space="preserve">En </w:t>
      </w:r>
      <w:r w:rsidRPr="00354D22">
        <w:rPr>
          <w:b/>
          <w:bCs/>
        </w:rPr>
        <w:t>definitiva,</w:t>
      </w:r>
      <w:r w:rsidRPr="00354D22">
        <w:t xml:space="preserve"> los S</w:t>
      </w:r>
      <w:r w:rsidR="594F2EAB" w:rsidRPr="00354D22">
        <w:t>SB</w:t>
      </w:r>
      <w:r w:rsidRPr="00354D22">
        <w:t xml:space="preserve"> cumplen con</w:t>
      </w:r>
      <w:r w:rsidR="009B5C9E" w:rsidRPr="00354D22">
        <w:t xml:space="preserve"> dos de</w:t>
      </w:r>
      <w:r w:rsidRPr="00354D22">
        <w:t xml:space="preserve"> sus tres obligaciones</w:t>
      </w:r>
      <w:r w:rsidR="009B5C9E" w:rsidRPr="00354D22">
        <w:t>, sin que hayamos podido obtener evidencia sobre la restante</w:t>
      </w:r>
      <w:r w:rsidR="00D66676">
        <w:t>. En cuanto a l</w:t>
      </w:r>
      <w:r w:rsidR="008731E2" w:rsidRPr="00354D22">
        <w:t>a administración pública</w:t>
      </w:r>
      <w:r w:rsidR="00EA1C05">
        <w:t>,</w:t>
      </w:r>
      <w:r w:rsidR="008731E2" w:rsidRPr="00354D22">
        <w:t xml:space="preserve"> </w:t>
      </w:r>
      <w:r w:rsidR="001C6523">
        <w:t>cumplió</w:t>
      </w:r>
      <w:r w:rsidR="00354D22" w:rsidRPr="00354D22">
        <w:t xml:space="preserve"> </w:t>
      </w:r>
      <w:r w:rsidR="07054262" w:rsidRPr="00354D22">
        <w:t xml:space="preserve">con su obligación de ofrecer formación y la posibilidad de participar en </w:t>
      </w:r>
      <w:r w:rsidR="00354D22" w:rsidRPr="00354D22">
        <w:t>una opción de empleo</w:t>
      </w:r>
      <w:r w:rsidR="00D66676">
        <w:t xml:space="preserve"> al menos</w:t>
      </w:r>
      <w:r w:rsidR="001C6523">
        <w:t xml:space="preserve"> </w:t>
      </w:r>
      <w:r w:rsidR="00D66676">
        <w:t>al</w:t>
      </w:r>
      <w:r w:rsidR="001C6523">
        <w:t xml:space="preserve"> </w:t>
      </w:r>
      <w:r w:rsidR="001C6523" w:rsidRPr="00D66676">
        <w:t>67 por ciento de personas perceptoras de RG durante un periodo</w:t>
      </w:r>
      <w:r w:rsidR="001C6523">
        <w:t xml:space="preserve"> ininterrumpido de al menos 24 meses</w:t>
      </w:r>
      <w:r w:rsidR="00D66676">
        <w:t>, sin que hayamos podido concluir sobre el resto de casos al no disponer de información sobre el posible rechazo de ofertas de empleo</w:t>
      </w:r>
      <w:r w:rsidR="007B6491">
        <w:t xml:space="preserve"> y formación</w:t>
      </w:r>
      <w:r w:rsidR="6C5ED55D" w:rsidRPr="00354D22">
        <w:t>.</w:t>
      </w:r>
    </w:p>
    <w:p w14:paraId="184F49A7" w14:textId="1FF578BB" w:rsidR="00824B5F" w:rsidRDefault="00824B5F" w:rsidP="005E03F5">
      <w:pPr>
        <w:pStyle w:val="atitulo2"/>
        <w:spacing w:before="240"/>
      </w:pPr>
      <w:bookmarkStart w:id="8" w:name="_Toc187821039"/>
      <w:r>
        <w:t>III.2 Evolución de indicadores</w:t>
      </w:r>
      <w:r w:rsidR="00D41515">
        <w:t xml:space="preserve"> de la RG</w:t>
      </w:r>
      <w:r>
        <w:t xml:space="preserve"> relacionados con el empleo</w:t>
      </w:r>
      <w:bookmarkEnd w:id="8"/>
      <w:r w:rsidR="00A11049">
        <w:t xml:space="preserve">  </w:t>
      </w:r>
    </w:p>
    <w:p w14:paraId="1469A2A4" w14:textId="4633643B" w:rsidR="00A11049" w:rsidRDefault="00AD7D47" w:rsidP="3896A6D9">
      <w:pPr>
        <w:pStyle w:val="texto"/>
        <w:spacing w:after="140"/>
        <w:jc w:val="both"/>
        <w:rPr>
          <w:rFonts w:eastAsiaTheme="minorEastAsia"/>
        </w:rPr>
      </w:pPr>
      <w:r w:rsidRPr="3896A6D9">
        <w:rPr>
          <w:rFonts w:eastAsiaTheme="minorEastAsia"/>
        </w:rPr>
        <w:t>L</w:t>
      </w:r>
      <w:r w:rsidR="00A11049" w:rsidRPr="3896A6D9">
        <w:rPr>
          <w:rFonts w:eastAsiaTheme="minorEastAsia"/>
        </w:rPr>
        <w:t>a Ley Foral 15/2016 y el Decreto Foral 26/2018 supusieron un avance importante en el enfoque de la RG</w:t>
      </w:r>
      <w:r w:rsidR="00EA1C05">
        <w:rPr>
          <w:rFonts w:eastAsiaTheme="minorEastAsia"/>
        </w:rPr>
        <w:t>,</w:t>
      </w:r>
      <w:r w:rsidR="00A11049" w:rsidRPr="3896A6D9">
        <w:rPr>
          <w:rFonts w:eastAsiaTheme="minorEastAsia"/>
        </w:rPr>
        <w:t xml:space="preserve"> incluyendo el derecho a la inclusión social con el fin de mejorar el acceso de la ciudadanía, y en especial el de las personas en situación de </w:t>
      </w:r>
      <w:r w:rsidR="00A11049" w:rsidRPr="3896A6D9">
        <w:t>vulnerabilidad</w:t>
      </w:r>
      <w:r w:rsidR="00A11049" w:rsidRPr="3896A6D9">
        <w:rPr>
          <w:rFonts w:eastAsiaTheme="minorEastAsia"/>
        </w:rPr>
        <w:t xml:space="preserve"> económica, a unos servicios sociales y de empleo de calidad.</w:t>
      </w:r>
    </w:p>
    <w:p w14:paraId="1FDB8399" w14:textId="2B8E4258" w:rsidR="00A11049" w:rsidRDefault="1CB6D0A3" w:rsidP="3896A6D9">
      <w:pPr>
        <w:pStyle w:val="texto"/>
        <w:spacing w:after="140"/>
        <w:jc w:val="both"/>
        <w:rPr>
          <w:rFonts w:eastAsiaTheme="minorEastAsia"/>
        </w:rPr>
      </w:pPr>
      <w:r w:rsidRPr="3896A6D9">
        <w:rPr>
          <w:rFonts w:eastAsiaTheme="minorEastAsia"/>
        </w:rPr>
        <w:t>H</w:t>
      </w:r>
      <w:r w:rsidR="1DC2FF63" w:rsidRPr="3896A6D9">
        <w:rPr>
          <w:rFonts w:eastAsiaTheme="minorEastAsia"/>
        </w:rPr>
        <w:t xml:space="preserve">emos analizado la evolución de determinados </w:t>
      </w:r>
      <w:r w:rsidR="1DC2FF63" w:rsidRPr="3896A6D9">
        <w:t>indicadores</w:t>
      </w:r>
      <w:r w:rsidR="1DC2FF63" w:rsidRPr="3896A6D9">
        <w:rPr>
          <w:rFonts w:eastAsiaTheme="minorEastAsia"/>
        </w:rPr>
        <w:t xml:space="preserve"> de la RG relacionados directa o indirectamente con el empleo</w:t>
      </w:r>
      <w:r w:rsidR="23287C3D" w:rsidRPr="3896A6D9">
        <w:rPr>
          <w:rFonts w:eastAsiaTheme="minorEastAsia"/>
        </w:rPr>
        <w:t>,</w:t>
      </w:r>
      <w:r w:rsidR="0027110E">
        <w:rPr>
          <w:rFonts w:eastAsiaTheme="minorEastAsia"/>
        </w:rPr>
        <w:t xml:space="preserve"> </w:t>
      </w:r>
      <w:r w:rsidR="1DC2FF63" w:rsidRPr="3896A6D9">
        <w:rPr>
          <w:rFonts w:eastAsiaTheme="minorEastAsia"/>
        </w:rPr>
        <w:t>de la cual destacamos los siguientes puntos:</w:t>
      </w:r>
    </w:p>
    <w:p w14:paraId="1E6EA8B2" w14:textId="72D3C4A8" w:rsidR="0099502E" w:rsidRDefault="1DC2FF63" w:rsidP="005E03F5">
      <w:pPr>
        <w:pStyle w:val="texto"/>
        <w:numPr>
          <w:ilvl w:val="0"/>
          <w:numId w:val="4"/>
        </w:numPr>
        <w:tabs>
          <w:tab w:val="clear" w:pos="2835"/>
          <w:tab w:val="clear" w:pos="3969"/>
          <w:tab w:val="clear" w:pos="5103"/>
          <w:tab w:val="clear" w:pos="6237"/>
          <w:tab w:val="clear" w:pos="7371"/>
          <w:tab w:val="num" w:pos="300"/>
          <w:tab w:val="left" w:pos="480"/>
          <w:tab w:val="num" w:pos="600"/>
        </w:tabs>
        <w:spacing w:after="240"/>
        <w:ind w:left="0" w:firstLine="289"/>
        <w:jc w:val="both"/>
      </w:pPr>
      <w:r>
        <w:t xml:space="preserve">El </w:t>
      </w:r>
      <w:r w:rsidR="00E371C2">
        <w:t xml:space="preserve">porcentaje de personas beneficiarias de RG disponibles para el empleo sobre el total de beneficiarios y su </w:t>
      </w:r>
      <w:r>
        <w:t xml:space="preserve">gasto </w:t>
      </w:r>
      <w:r w:rsidRPr="0027110E">
        <w:t xml:space="preserve">estimado </w:t>
      </w:r>
      <w:r w:rsidR="56FDF119" w:rsidRPr="0027110E">
        <w:t>en</w:t>
      </w:r>
      <w:r w:rsidR="00390D54">
        <w:t xml:space="preserve"> esta prestación en</w:t>
      </w:r>
      <w:r w:rsidR="56FDF119" w:rsidRPr="0027110E">
        <w:t xml:space="preserve"> 202</w:t>
      </w:r>
      <w:r w:rsidR="00E371C2" w:rsidRPr="0027110E">
        <w:t>1</w:t>
      </w:r>
      <w:r w:rsidR="00C577CC">
        <w:rPr>
          <w:rStyle w:val="Refdenotaalpie"/>
        </w:rPr>
        <w:footnoteReference w:id="6"/>
      </w:r>
      <w:r w:rsidR="00E371C2">
        <w:t xml:space="preserve"> y 2023 </w:t>
      </w:r>
      <w:r w:rsidR="56FDF119">
        <w:t>es el siguiente:</w:t>
      </w:r>
      <w:r w:rsidR="005F65D1">
        <w:t xml:space="preserve"> </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77"/>
        <w:gridCol w:w="1453"/>
        <w:gridCol w:w="1453"/>
        <w:gridCol w:w="1453"/>
        <w:gridCol w:w="1453"/>
      </w:tblGrid>
      <w:tr w:rsidR="0099502E" w:rsidRPr="00A66CB9" w14:paraId="11F18AD4" w14:textId="77777777" w:rsidTr="00393EB0">
        <w:trPr>
          <w:trHeight w:val="255"/>
        </w:trPr>
        <w:tc>
          <w:tcPr>
            <w:tcW w:w="2977" w:type="dxa"/>
            <w:vMerge w:val="restart"/>
            <w:shd w:val="clear" w:color="auto" w:fill="9CC2E5" w:themeFill="accent1" w:themeFillTint="99"/>
            <w:noWrap/>
            <w:vAlign w:val="center"/>
          </w:tcPr>
          <w:p w14:paraId="5623F4DF" w14:textId="77777777" w:rsidR="0099502E" w:rsidRPr="00A66CB9" w:rsidRDefault="0099502E" w:rsidP="0099502E">
            <w:pPr>
              <w:rPr>
                <w:rFonts w:ascii="Arial" w:hAnsi="Arial" w:cs="Arial"/>
                <w:bCs/>
                <w:color w:val="000000"/>
                <w:sz w:val="18"/>
                <w:szCs w:val="18"/>
              </w:rPr>
            </w:pPr>
            <w:r>
              <w:rPr>
                <w:rFonts w:ascii="Arial" w:hAnsi="Arial" w:cs="Arial"/>
                <w:bCs/>
                <w:color w:val="000000"/>
                <w:sz w:val="18"/>
                <w:szCs w:val="18"/>
              </w:rPr>
              <w:t>Situación persona beneficiaria</w:t>
            </w:r>
          </w:p>
        </w:tc>
        <w:tc>
          <w:tcPr>
            <w:tcW w:w="2906" w:type="dxa"/>
            <w:gridSpan w:val="2"/>
            <w:tcBorders>
              <w:right w:val="single" w:sz="2" w:space="0" w:color="auto"/>
            </w:tcBorders>
            <w:shd w:val="clear" w:color="auto" w:fill="9CC2E5" w:themeFill="accent1" w:themeFillTint="99"/>
            <w:noWrap/>
            <w:vAlign w:val="center"/>
          </w:tcPr>
          <w:p w14:paraId="650B5A13" w14:textId="21468B44" w:rsidR="0099502E" w:rsidRPr="00A66CB9" w:rsidRDefault="009B5C9E" w:rsidP="0099502E">
            <w:pPr>
              <w:jc w:val="center"/>
              <w:rPr>
                <w:rFonts w:ascii="Arial" w:hAnsi="Arial" w:cs="Arial"/>
                <w:bCs/>
                <w:color w:val="000000"/>
                <w:sz w:val="18"/>
                <w:szCs w:val="18"/>
              </w:rPr>
            </w:pPr>
            <w:r>
              <w:rPr>
                <w:rFonts w:ascii="Arial" w:hAnsi="Arial" w:cs="Arial"/>
                <w:bCs/>
                <w:color w:val="000000"/>
                <w:sz w:val="18"/>
                <w:szCs w:val="18"/>
              </w:rPr>
              <w:t>2021</w:t>
            </w:r>
          </w:p>
        </w:tc>
        <w:tc>
          <w:tcPr>
            <w:tcW w:w="2906" w:type="dxa"/>
            <w:gridSpan w:val="2"/>
            <w:tcBorders>
              <w:left w:val="single" w:sz="2" w:space="0" w:color="auto"/>
            </w:tcBorders>
            <w:shd w:val="clear" w:color="auto" w:fill="9CC2E5" w:themeFill="accent1" w:themeFillTint="99"/>
            <w:noWrap/>
            <w:vAlign w:val="center"/>
          </w:tcPr>
          <w:p w14:paraId="73F56A6F" w14:textId="77777777" w:rsidR="0099502E" w:rsidRPr="00A66CB9" w:rsidRDefault="0099502E" w:rsidP="0099502E">
            <w:pPr>
              <w:jc w:val="center"/>
              <w:rPr>
                <w:rFonts w:ascii="Arial" w:hAnsi="Arial" w:cs="Arial"/>
                <w:bCs/>
                <w:color w:val="000000"/>
                <w:sz w:val="18"/>
                <w:szCs w:val="18"/>
              </w:rPr>
            </w:pPr>
            <w:r>
              <w:rPr>
                <w:rFonts w:ascii="Arial" w:hAnsi="Arial" w:cs="Arial"/>
                <w:bCs/>
                <w:color w:val="000000"/>
                <w:sz w:val="18"/>
                <w:szCs w:val="18"/>
              </w:rPr>
              <w:t>2023</w:t>
            </w:r>
          </w:p>
        </w:tc>
      </w:tr>
      <w:tr w:rsidR="00C03177" w:rsidRPr="00A66CB9" w14:paraId="276C9523" w14:textId="77777777" w:rsidTr="00393EB0">
        <w:trPr>
          <w:trHeight w:val="255"/>
        </w:trPr>
        <w:tc>
          <w:tcPr>
            <w:tcW w:w="2977" w:type="dxa"/>
            <w:vMerge/>
            <w:tcBorders>
              <w:bottom w:val="single" w:sz="4" w:space="0" w:color="auto"/>
            </w:tcBorders>
            <w:shd w:val="clear" w:color="auto" w:fill="9CC2E5" w:themeFill="accent1" w:themeFillTint="99"/>
            <w:noWrap/>
            <w:vAlign w:val="center"/>
            <w:hideMark/>
          </w:tcPr>
          <w:p w14:paraId="1FC39945" w14:textId="77777777" w:rsidR="00C03177" w:rsidRPr="00A66CB9" w:rsidRDefault="00C03177" w:rsidP="00C03177">
            <w:pPr>
              <w:rPr>
                <w:rFonts w:ascii="Arial" w:hAnsi="Arial" w:cs="Arial"/>
                <w:bCs/>
                <w:color w:val="000000"/>
                <w:sz w:val="18"/>
                <w:szCs w:val="18"/>
              </w:rPr>
            </w:pPr>
          </w:p>
        </w:tc>
        <w:tc>
          <w:tcPr>
            <w:tcW w:w="1453" w:type="dxa"/>
            <w:tcBorders>
              <w:bottom w:val="single" w:sz="4" w:space="0" w:color="auto"/>
            </w:tcBorders>
            <w:shd w:val="clear" w:color="auto" w:fill="9CC2E5" w:themeFill="accent1" w:themeFillTint="99"/>
            <w:noWrap/>
            <w:vAlign w:val="center"/>
            <w:hideMark/>
          </w:tcPr>
          <w:p w14:paraId="33667963" w14:textId="46E1B376" w:rsidR="00C03177" w:rsidRPr="00A66CB9" w:rsidRDefault="00C03177" w:rsidP="00C03177">
            <w:pPr>
              <w:jc w:val="right"/>
              <w:rPr>
                <w:rFonts w:ascii="Arial" w:hAnsi="Arial" w:cs="Arial"/>
                <w:bCs/>
                <w:color w:val="000000"/>
                <w:sz w:val="18"/>
                <w:szCs w:val="18"/>
              </w:rPr>
            </w:pPr>
            <w:r>
              <w:rPr>
                <w:rFonts w:ascii="Arial" w:hAnsi="Arial" w:cs="Arial"/>
                <w:bCs/>
                <w:color w:val="000000"/>
                <w:sz w:val="18"/>
                <w:szCs w:val="18"/>
              </w:rPr>
              <w:t xml:space="preserve">% nº personas </w:t>
            </w:r>
          </w:p>
        </w:tc>
        <w:tc>
          <w:tcPr>
            <w:tcW w:w="1453" w:type="dxa"/>
            <w:tcBorders>
              <w:bottom w:val="single" w:sz="4" w:space="0" w:color="auto"/>
              <w:right w:val="single" w:sz="2" w:space="0" w:color="auto"/>
            </w:tcBorders>
            <w:shd w:val="clear" w:color="auto" w:fill="9CC2E5" w:themeFill="accent1" w:themeFillTint="99"/>
            <w:vAlign w:val="center"/>
          </w:tcPr>
          <w:p w14:paraId="659A1BFB" w14:textId="77777777" w:rsidR="00C03177" w:rsidRPr="00A66CB9" w:rsidRDefault="00C03177" w:rsidP="00C03177">
            <w:pPr>
              <w:jc w:val="right"/>
              <w:rPr>
                <w:rFonts w:ascii="Arial" w:hAnsi="Arial" w:cs="Arial"/>
                <w:bCs/>
                <w:color w:val="000000"/>
                <w:sz w:val="18"/>
                <w:szCs w:val="18"/>
              </w:rPr>
            </w:pPr>
            <w:r>
              <w:rPr>
                <w:rFonts w:ascii="Arial" w:hAnsi="Arial" w:cs="Arial"/>
                <w:bCs/>
                <w:color w:val="000000"/>
                <w:sz w:val="18"/>
                <w:szCs w:val="18"/>
              </w:rPr>
              <w:t>% s/ gasto total</w:t>
            </w:r>
          </w:p>
        </w:tc>
        <w:tc>
          <w:tcPr>
            <w:tcW w:w="1453" w:type="dxa"/>
            <w:tcBorders>
              <w:left w:val="single" w:sz="2" w:space="0" w:color="auto"/>
              <w:bottom w:val="single" w:sz="4" w:space="0" w:color="auto"/>
            </w:tcBorders>
            <w:shd w:val="clear" w:color="auto" w:fill="9CC2E5" w:themeFill="accent1" w:themeFillTint="99"/>
            <w:noWrap/>
            <w:vAlign w:val="center"/>
            <w:hideMark/>
          </w:tcPr>
          <w:p w14:paraId="33E2C9F6" w14:textId="4620F20F" w:rsidR="00C03177" w:rsidRPr="00A66CB9" w:rsidRDefault="00C03177" w:rsidP="00C03177">
            <w:pPr>
              <w:jc w:val="right"/>
              <w:rPr>
                <w:rFonts w:ascii="Arial" w:hAnsi="Arial" w:cs="Arial"/>
                <w:bCs/>
                <w:color w:val="000000"/>
                <w:sz w:val="18"/>
                <w:szCs w:val="18"/>
              </w:rPr>
            </w:pPr>
            <w:r>
              <w:rPr>
                <w:rFonts w:ascii="Arial" w:hAnsi="Arial" w:cs="Arial"/>
                <w:bCs/>
                <w:color w:val="000000"/>
                <w:sz w:val="18"/>
                <w:szCs w:val="18"/>
              </w:rPr>
              <w:t xml:space="preserve">% nº personas </w:t>
            </w:r>
          </w:p>
        </w:tc>
        <w:tc>
          <w:tcPr>
            <w:tcW w:w="1453" w:type="dxa"/>
            <w:tcBorders>
              <w:bottom w:val="single" w:sz="4" w:space="0" w:color="auto"/>
            </w:tcBorders>
            <w:shd w:val="clear" w:color="auto" w:fill="9CC2E5" w:themeFill="accent1" w:themeFillTint="99"/>
            <w:vAlign w:val="center"/>
          </w:tcPr>
          <w:p w14:paraId="055159D7" w14:textId="78F3089B" w:rsidR="00C03177" w:rsidRPr="00A66CB9" w:rsidRDefault="00C03177" w:rsidP="00C03177">
            <w:pPr>
              <w:jc w:val="right"/>
              <w:rPr>
                <w:rFonts w:ascii="Arial" w:hAnsi="Arial" w:cs="Arial"/>
                <w:bCs/>
                <w:color w:val="000000"/>
                <w:sz w:val="18"/>
                <w:szCs w:val="18"/>
              </w:rPr>
            </w:pPr>
            <w:r>
              <w:rPr>
                <w:rFonts w:ascii="Arial" w:hAnsi="Arial" w:cs="Arial"/>
                <w:bCs/>
                <w:color w:val="000000"/>
                <w:sz w:val="18"/>
                <w:szCs w:val="18"/>
              </w:rPr>
              <w:t>% s/ gasto total</w:t>
            </w:r>
          </w:p>
        </w:tc>
      </w:tr>
      <w:tr w:rsidR="00C03177" w:rsidRPr="00A66CB9" w14:paraId="12240A5C" w14:textId="77777777" w:rsidTr="00393EB0">
        <w:trPr>
          <w:trHeight w:val="255"/>
        </w:trPr>
        <w:tc>
          <w:tcPr>
            <w:tcW w:w="2977" w:type="dxa"/>
            <w:tcBorders>
              <w:bottom w:val="single" w:sz="2" w:space="0" w:color="auto"/>
            </w:tcBorders>
            <w:shd w:val="clear" w:color="auto" w:fill="auto"/>
            <w:noWrap/>
            <w:vAlign w:val="center"/>
            <w:hideMark/>
          </w:tcPr>
          <w:p w14:paraId="4D76AC66" w14:textId="77777777" w:rsidR="00C03177" w:rsidRPr="00A66CB9" w:rsidRDefault="00C03177" w:rsidP="00C03177">
            <w:pPr>
              <w:rPr>
                <w:rFonts w:ascii="Arial Narrow" w:hAnsi="Arial Narrow" w:cs="Calibri"/>
                <w:color w:val="000000"/>
                <w:sz w:val="20"/>
                <w:szCs w:val="20"/>
              </w:rPr>
            </w:pPr>
            <w:r w:rsidRPr="00A66CB9">
              <w:rPr>
                <w:rFonts w:ascii="Arial Narrow" w:hAnsi="Arial Narrow" w:cs="Calibri"/>
                <w:color w:val="000000"/>
                <w:sz w:val="20"/>
                <w:szCs w:val="20"/>
              </w:rPr>
              <w:t>Disponible para el empleo</w:t>
            </w:r>
          </w:p>
        </w:tc>
        <w:tc>
          <w:tcPr>
            <w:tcW w:w="1453" w:type="dxa"/>
            <w:tcBorders>
              <w:bottom w:val="single" w:sz="2" w:space="0" w:color="auto"/>
            </w:tcBorders>
            <w:shd w:val="clear" w:color="auto" w:fill="auto"/>
            <w:noWrap/>
            <w:vAlign w:val="center"/>
            <w:hideMark/>
          </w:tcPr>
          <w:p w14:paraId="524BD046" w14:textId="5BAE8225" w:rsidR="00C03177" w:rsidRPr="00A66CB9" w:rsidRDefault="00C03177" w:rsidP="00C03177">
            <w:pPr>
              <w:jc w:val="right"/>
              <w:rPr>
                <w:rFonts w:ascii="Arial Narrow" w:hAnsi="Arial Narrow" w:cs="Calibri"/>
                <w:color w:val="000000"/>
                <w:sz w:val="20"/>
                <w:szCs w:val="20"/>
              </w:rPr>
            </w:pPr>
            <w:r>
              <w:rPr>
                <w:rFonts w:ascii="Arial Narrow" w:hAnsi="Arial Narrow" w:cs="Calibri"/>
                <w:color w:val="000000"/>
                <w:sz w:val="20"/>
                <w:szCs w:val="20"/>
              </w:rPr>
              <w:t>46</w:t>
            </w:r>
          </w:p>
        </w:tc>
        <w:tc>
          <w:tcPr>
            <w:tcW w:w="1453" w:type="dxa"/>
            <w:tcBorders>
              <w:bottom w:val="single" w:sz="2" w:space="0" w:color="auto"/>
              <w:right w:val="single" w:sz="2" w:space="0" w:color="auto"/>
            </w:tcBorders>
            <w:vAlign w:val="center"/>
          </w:tcPr>
          <w:p w14:paraId="5FE3165D" w14:textId="50C39BD5" w:rsidR="00C03177" w:rsidRPr="00A66CB9" w:rsidRDefault="00C03177" w:rsidP="00C03177">
            <w:pPr>
              <w:jc w:val="right"/>
              <w:rPr>
                <w:rFonts w:ascii="Arial Narrow" w:hAnsi="Arial Narrow" w:cs="Calibri"/>
                <w:color w:val="000000"/>
                <w:sz w:val="20"/>
                <w:szCs w:val="20"/>
              </w:rPr>
            </w:pPr>
            <w:r>
              <w:rPr>
                <w:rFonts w:ascii="Arial Narrow" w:hAnsi="Arial Narrow" w:cs="Calibri"/>
                <w:color w:val="000000"/>
                <w:sz w:val="20"/>
                <w:szCs w:val="20"/>
              </w:rPr>
              <w:t>49</w:t>
            </w:r>
          </w:p>
        </w:tc>
        <w:tc>
          <w:tcPr>
            <w:tcW w:w="1453" w:type="dxa"/>
            <w:tcBorders>
              <w:left w:val="single" w:sz="2" w:space="0" w:color="auto"/>
              <w:bottom w:val="single" w:sz="2" w:space="0" w:color="auto"/>
            </w:tcBorders>
            <w:shd w:val="clear" w:color="auto" w:fill="auto"/>
            <w:noWrap/>
            <w:vAlign w:val="center"/>
            <w:hideMark/>
          </w:tcPr>
          <w:p w14:paraId="4C0642B4" w14:textId="1E9E1660" w:rsidR="00C03177" w:rsidRPr="00A66CB9" w:rsidRDefault="00C03177" w:rsidP="00C03177">
            <w:pPr>
              <w:jc w:val="right"/>
              <w:rPr>
                <w:rFonts w:ascii="Arial Narrow" w:hAnsi="Arial Narrow" w:cs="Calibri"/>
                <w:color w:val="000000"/>
                <w:sz w:val="20"/>
                <w:szCs w:val="20"/>
              </w:rPr>
            </w:pPr>
            <w:r>
              <w:rPr>
                <w:rFonts w:ascii="Arial Narrow" w:hAnsi="Arial Narrow" w:cs="Calibri"/>
                <w:color w:val="000000"/>
                <w:sz w:val="20"/>
                <w:szCs w:val="20"/>
              </w:rPr>
              <w:t>44</w:t>
            </w:r>
          </w:p>
        </w:tc>
        <w:tc>
          <w:tcPr>
            <w:tcW w:w="1453" w:type="dxa"/>
            <w:tcBorders>
              <w:bottom w:val="single" w:sz="2" w:space="0" w:color="auto"/>
            </w:tcBorders>
            <w:vAlign w:val="center"/>
          </w:tcPr>
          <w:p w14:paraId="28E52AA1" w14:textId="31CD224A" w:rsidR="00C03177" w:rsidRPr="00A66CB9" w:rsidRDefault="00C03177" w:rsidP="00C03177">
            <w:pPr>
              <w:jc w:val="right"/>
              <w:rPr>
                <w:rFonts w:ascii="Arial Narrow" w:hAnsi="Arial Narrow" w:cs="Calibri"/>
                <w:color w:val="000000"/>
                <w:sz w:val="20"/>
                <w:szCs w:val="20"/>
              </w:rPr>
            </w:pPr>
            <w:r>
              <w:rPr>
                <w:rFonts w:ascii="Arial Narrow" w:hAnsi="Arial Narrow" w:cs="Calibri"/>
                <w:color w:val="000000"/>
                <w:sz w:val="20"/>
                <w:szCs w:val="20"/>
              </w:rPr>
              <w:t>47</w:t>
            </w:r>
          </w:p>
        </w:tc>
      </w:tr>
      <w:tr w:rsidR="00C03177" w:rsidRPr="00A66CB9" w14:paraId="3680185A" w14:textId="77777777" w:rsidTr="00393EB0">
        <w:trPr>
          <w:trHeight w:val="255"/>
        </w:trPr>
        <w:tc>
          <w:tcPr>
            <w:tcW w:w="2977" w:type="dxa"/>
            <w:tcBorders>
              <w:top w:val="single" w:sz="2" w:space="0" w:color="auto"/>
              <w:bottom w:val="nil"/>
            </w:tcBorders>
            <w:shd w:val="clear" w:color="auto" w:fill="auto"/>
            <w:noWrap/>
            <w:vAlign w:val="center"/>
            <w:hideMark/>
          </w:tcPr>
          <w:p w14:paraId="4FAEB72B" w14:textId="77777777" w:rsidR="00C03177" w:rsidRPr="00A66CB9" w:rsidRDefault="00C03177" w:rsidP="00C03177">
            <w:pPr>
              <w:rPr>
                <w:rFonts w:ascii="Arial Narrow" w:hAnsi="Arial Narrow" w:cs="Calibri"/>
                <w:color w:val="000000"/>
                <w:sz w:val="20"/>
                <w:szCs w:val="20"/>
              </w:rPr>
            </w:pPr>
            <w:r w:rsidRPr="00A66CB9">
              <w:rPr>
                <w:rFonts w:ascii="Arial Narrow" w:hAnsi="Arial Narrow" w:cs="Calibri"/>
                <w:color w:val="000000"/>
                <w:sz w:val="20"/>
                <w:szCs w:val="20"/>
              </w:rPr>
              <w:t>No disponible para el empleo</w:t>
            </w:r>
            <w:r>
              <w:rPr>
                <w:rFonts w:ascii="Arial Narrow" w:hAnsi="Arial Narrow" w:cs="Calibri"/>
                <w:color w:val="000000"/>
                <w:sz w:val="20"/>
                <w:szCs w:val="20"/>
              </w:rPr>
              <w:t>:</w:t>
            </w:r>
          </w:p>
        </w:tc>
        <w:tc>
          <w:tcPr>
            <w:tcW w:w="1453" w:type="dxa"/>
            <w:tcBorders>
              <w:top w:val="single" w:sz="2" w:space="0" w:color="auto"/>
              <w:bottom w:val="nil"/>
            </w:tcBorders>
            <w:shd w:val="clear" w:color="auto" w:fill="auto"/>
            <w:noWrap/>
            <w:vAlign w:val="center"/>
            <w:hideMark/>
          </w:tcPr>
          <w:p w14:paraId="63FC71BA" w14:textId="7B3E24C6" w:rsidR="00C03177" w:rsidRPr="00A66CB9" w:rsidRDefault="00C03177" w:rsidP="00C03177">
            <w:pPr>
              <w:jc w:val="right"/>
              <w:rPr>
                <w:rFonts w:ascii="Arial Narrow" w:hAnsi="Arial Narrow" w:cs="Calibri"/>
                <w:color w:val="000000"/>
                <w:sz w:val="20"/>
                <w:szCs w:val="20"/>
              </w:rPr>
            </w:pPr>
            <w:r>
              <w:rPr>
                <w:rFonts w:ascii="Arial Narrow" w:hAnsi="Arial Narrow" w:cs="Calibri"/>
                <w:color w:val="000000"/>
                <w:sz w:val="20"/>
                <w:szCs w:val="20"/>
              </w:rPr>
              <w:t>54</w:t>
            </w:r>
          </w:p>
        </w:tc>
        <w:tc>
          <w:tcPr>
            <w:tcW w:w="1453" w:type="dxa"/>
            <w:tcBorders>
              <w:top w:val="single" w:sz="2" w:space="0" w:color="auto"/>
              <w:bottom w:val="nil"/>
              <w:right w:val="single" w:sz="2" w:space="0" w:color="auto"/>
            </w:tcBorders>
            <w:vAlign w:val="center"/>
          </w:tcPr>
          <w:p w14:paraId="43FBD11F" w14:textId="1A15BD70" w:rsidR="00C03177" w:rsidRPr="00A66CB9" w:rsidRDefault="00C03177" w:rsidP="00C03177">
            <w:pPr>
              <w:jc w:val="right"/>
              <w:rPr>
                <w:rFonts w:ascii="Arial Narrow" w:hAnsi="Arial Narrow" w:cs="Calibri"/>
                <w:color w:val="000000"/>
                <w:sz w:val="20"/>
                <w:szCs w:val="20"/>
              </w:rPr>
            </w:pPr>
            <w:r>
              <w:rPr>
                <w:rFonts w:ascii="Arial Narrow" w:hAnsi="Arial Narrow" w:cs="Calibri"/>
                <w:color w:val="000000"/>
                <w:sz w:val="20"/>
                <w:szCs w:val="20"/>
              </w:rPr>
              <w:t>51</w:t>
            </w:r>
          </w:p>
        </w:tc>
        <w:tc>
          <w:tcPr>
            <w:tcW w:w="1453" w:type="dxa"/>
            <w:tcBorders>
              <w:top w:val="single" w:sz="2" w:space="0" w:color="auto"/>
              <w:left w:val="single" w:sz="2" w:space="0" w:color="auto"/>
              <w:bottom w:val="nil"/>
            </w:tcBorders>
            <w:shd w:val="clear" w:color="auto" w:fill="auto"/>
            <w:noWrap/>
            <w:vAlign w:val="center"/>
            <w:hideMark/>
          </w:tcPr>
          <w:p w14:paraId="1F8064A7" w14:textId="25A93A51" w:rsidR="00C03177" w:rsidRPr="00A66CB9" w:rsidRDefault="00C03177" w:rsidP="00C03177">
            <w:pPr>
              <w:jc w:val="right"/>
              <w:rPr>
                <w:rFonts w:ascii="Arial Narrow" w:hAnsi="Arial Narrow" w:cs="Calibri"/>
                <w:color w:val="000000"/>
                <w:sz w:val="20"/>
                <w:szCs w:val="20"/>
              </w:rPr>
            </w:pPr>
            <w:r>
              <w:rPr>
                <w:rFonts w:ascii="Arial Narrow" w:hAnsi="Arial Narrow" w:cs="Calibri"/>
                <w:color w:val="000000"/>
                <w:sz w:val="20"/>
                <w:szCs w:val="20"/>
              </w:rPr>
              <w:t>56</w:t>
            </w:r>
          </w:p>
        </w:tc>
        <w:tc>
          <w:tcPr>
            <w:tcW w:w="1453" w:type="dxa"/>
            <w:tcBorders>
              <w:top w:val="single" w:sz="2" w:space="0" w:color="auto"/>
              <w:bottom w:val="nil"/>
            </w:tcBorders>
            <w:vAlign w:val="center"/>
          </w:tcPr>
          <w:p w14:paraId="3F6FB1E0" w14:textId="682EE933" w:rsidR="00C03177" w:rsidRPr="00A66CB9" w:rsidRDefault="00C03177" w:rsidP="00C03177">
            <w:pPr>
              <w:jc w:val="right"/>
              <w:rPr>
                <w:rFonts w:ascii="Arial Narrow" w:hAnsi="Arial Narrow" w:cs="Calibri"/>
                <w:color w:val="000000"/>
                <w:sz w:val="20"/>
                <w:szCs w:val="20"/>
              </w:rPr>
            </w:pPr>
            <w:r>
              <w:rPr>
                <w:rFonts w:ascii="Arial Narrow" w:hAnsi="Arial Narrow" w:cs="Calibri"/>
                <w:color w:val="000000"/>
                <w:sz w:val="20"/>
                <w:szCs w:val="20"/>
              </w:rPr>
              <w:t>53</w:t>
            </w:r>
          </w:p>
        </w:tc>
      </w:tr>
      <w:tr w:rsidR="00C03177" w:rsidRPr="00A66CB9" w14:paraId="1E4DFBFF" w14:textId="77777777" w:rsidTr="00393EB0">
        <w:trPr>
          <w:trHeight w:val="255"/>
        </w:trPr>
        <w:tc>
          <w:tcPr>
            <w:tcW w:w="2977" w:type="dxa"/>
            <w:tcBorders>
              <w:top w:val="nil"/>
              <w:bottom w:val="nil"/>
            </w:tcBorders>
            <w:shd w:val="clear" w:color="auto" w:fill="auto"/>
            <w:noWrap/>
            <w:vAlign w:val="center"/>
            <w:hideMark/>
          </w:tcPr>
          <w:p w14:paraId="7DFD207F" w14:textId="2A83AC38" w:rsidR="00C03177" w:rsidRPr="00A66CB9" w:rsidRDefault="00C03177" w:rsidP="00BC2A9C">
            <w:pPr>
              <w:ind w:firstLine="351"/>
              <w:rPr>
                <w:rFonts w:ascii="Arial Narrow" w:hAnsi="Arial Narrow" w:cs="Calibri"/>
                <w:i/>
                <w:color w:val="000000"/>
                <w:sz w:val="18"/>
                <w:szCs w:val="18"/>
              </w:rPr>
            </w:pPr>
            <w:r w:rsidRPr="00A66CB9">
              <w:rPr>
                <w:rFonts w:ascii="Arial Narrow" w:hAnsi="Arial Narrow" w:cs="Calibri"/>
                <w:i/>
                <w:color w:val="000000"/>
                <w:sz w:val="18"/>
                <w:szCs w:val="18"/>
              </w:rPr>
              <w:t>Menores 18</w:t>
            </w:r>
            <w:r>
              <w:rPr>
                <w:rFonts w:ascii="Arial Narrow" w:hAnsi="Arial Narrow" w:cs="Calibri"/>
                <w:i/>
                <w:color w:val="000000"/>
                <w:sz w:val="18"/>
                <w:szCs w:val="18"/>
              </w:rPr>
              <w:t xml:space="preserve"> años</w:t>
            </w:r>
          </w:p>
        </w:tc>
        <w:tc>
          <w:tcPr>
            <w:tcW w:w="1453" w:type="dxa"/>
            <w:tcBorders>
              <w:top w:val="nil"/>
              <w:bottom w:val="nil"/>
            </w:tcBorders>
            <w:shd w:val="clear" w:color="auto" w:fill="auto"/>
            <w:noWrap/>
            <w:vAlign w:val="center"/>
            <w:hideMark/>
          </w:tcPr>
          <w:p w14:paraId="1B9B68CB" w14:textId="4F112EC1"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38</w:t>
            </w:r>
          </w:p>
        </w:tc>
        <w:tc>
          <w:tcPr>
            <w:tcW w:w="1453" w:type="dxa"/>
            <w:tcBorders>
              <w:top w:val="nil"/>
              <w:bottom w:val="nil"/>
              <w:right w:val="single" w:sz="2" w:space="0" w:color="auto"/>
            </w:tcBorders>
            <w:vAlign w:val="center"/>
          </w:tcPr>
          <w:p w14:paraId="434292C4" w14:textId="613B7D60"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29</w:t>
            </w:r>
          </w:p>
        </w:tc>
        <w:tc>
          <w:tcPr>
            <w:tcW w:w="1453" w:type="dxa"/>
            <w:tcBorders>
              <w:top w:val="nil"/>
              <w:left w:val="single" w:sz="2" w:space="0" w:color="auto"/>
              <w:bottom w:val="nil"/>
            </w:tcBorders>
            <w:shd w:val="clear" w:color="auto" w:fill="auto"/>
            <w:noWrap/>
            <w:vAlign w:val="center"/>
            <w:hideMark/>
          </w:tcPr>
          <w:p w14:paraId="4BA92582" w14:textId="450E9CCF"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38</w:t>
            </w:r>
          </w:p>
        </w:tc>
        <w:tc>
          <w:tcPr>
            <w:tcW w:w="1453" w:type="dxa"/>
            <w:tcBorders>
              <w:top w:val="nil"/>
              <w:bottom w:val="nil"/>
            </w:tcBorders>
            <w:vAlign w:val="center"/>
          </w:tcPr>
          <w:p w14:paraId="4B34824B" w14:textId="5CA280EC"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29</w:t>
            </w:r>
          </w:p>
        </w:tc>
      </w:tr>
      <w:tr w:rsidR="00C03177" w:rsidRPr="00A66CB9" w14:paraId="1BD8D42F" w14:textId="77777777" w:rsidTr="00393EB0">
        <w:trPr>
          <w:trHeight w:val="255"/>
        </w:trPr>
        <w:tc>
          <w:tcPr>
            <w:tcW w:w="2977" w:type="dxa"/>
            <w:tcBorders>
              <w:top w:val="nil"/>
              <w:bottom w:val="nil"/>
            </w:tcBorders>
            <w:shd w:val="clear" w:color="auto" w:fill="auto"/>
            <w:noWrap/>
            <w:vAlign w:val="center"/>
            <w:hideMark/>
          </w:tcPr>
          <w:p w14:paraId="688A7A34" w14:textId="77777777" w:rsidR="00C03177" w:rsidRPr="00A66CB9" w:rsidRDefault="00C03177" w:rsidP="00BC2A9C">
            <w:pPr>
              <w:ind w:firstLine="351"/>
              <w:rPr>
                <w:rFonts w:ascii="Arial Narrow" w:hAnsi="Arial Narrow" w:cs="Calibri"/>
                <w:i/>
                <w:color w:val="000000"/>
                <w:sz w:val="18"/>
                <w:szCs w:val="18"/>
              </w:rPr>
            </w:pPr>
            <w:r>
              <w:rPr>
                <w:rFonts w:ascii="Arial Narrow" w:hAnsi="Arial Narrow" w:cs="Calibri"/>
                <w:i/>
                <w:color w:val="000000"/>
                <w:sz w:val="18"/>
                <w:szCs w:val="18"/>
              </w:rPr>
              <w:t>Situación administrativa irregular</w:t>
            </w:r>
          </w:p>
        </w:tc>
        <w:tc>
          <w:tcPr>
            <w:tcW w:w="1453" w:type="dxa"/>
            <w:tcBorders>
              <w:top w:val="nil"/>
              <w:bottom w:val="nil"/>
            </w:tcBorders>
            <w:shd w:val="clear" w:color="auto" w:fill="auto"/>
            <w:noWrap/>
            <w:vAlign w:val="center"/>
            <w:hideMark/>
          </w:tcPr>
          <w:p w14:paraId="406F53E0" w14:textId="4245AEDB"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7</w:t>
            </w:r>
          </w:p>
        </w:tc>
        <w:tc>
          <w:tcPr>
            <w:tcW w:w="1453" w:type="dxa"/>
            <w:tcBorders>
              <w:top w:val="nil"/>
              <w:bottom w:val="nil"/>
              <w:right w:val="single" w:sz="2" w:space="0" w:color="auto"/>
            </w:tcBorders>
            <w:vAlign w:val="center"/>
          </w:tcPr>
          <w:p w14:paraId="5FCD5EC4" w14:textId="0651DF61"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11</w:t>
            </w:r>
          </w:p>
        </w:tc>
        <w:tc>
          <w:tcPr>
            <w:tcW w:w="1453" w:type="dxa"/>
            <w:tcBorders>
              <w:top w:val="nil"/>
              <w:left w:val="single" w:sz="2" w:space="0" w:color="auto"/>
              <w:bottom w:val="nil"/>
            </w:tcBorders>
            <w:shd w:val="clear" w:color="auto" w:fill="auto"/>
            <w:noWrap/>
            <w:vAlign w:val="center"/>
            <w:hideMark/>
          </w:tcPr>
          <w:p w14:paraId="475F75A2" w14:textId="6138C1C3"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9</w:t>
            </w:r>
          </w:p>
        </w:tc>
        <w:tc>
          <w:tcPr>
            <w:tcW w:w="1453" w:type="dxa"/>
            <w:tcBorders>
              <w:top w:val="nil"/>
              <w:bottom w:val="nil"/>
            </w:tcBorders>
            <w:vAlign w:val="center"/>
          </w:tcPr>
          <w:p w14:paraId="4E1E336A" w14:textId="596E427C"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14</w:t>
            </w:r>
          </w:p>
        </w:tc>
      </w:tr>
      <w:tr w:rsidR="00C03177" w:rsidRPr="00A66CB9" w14:paraId="47675AD1" w14:textId="77777777" w:rsidTr="00393EB0">
        <w:trPr>
          <w:trHeight w:val="255"/>
        </w:trPr>
        <w:tc>
          <w:tcPr>
            <w:tcW w:w="2977" w:type="dxa"/>
            <w:tcBorders>
              <w:top w:val="nil"/>
              <w:bottom w:val="nil"/>
            </w:tcBorders>
            <w:shd w:val="clear" w:color="auto" w:fill="auto"/>
            <w:noWrap/>
            <w:vAlign w:val="center"/>
            <w:hideMark/>
          </w:tcPr>
          <w:p w14:paraId="72532811" w14:textId="2ECE0A46" w:rsidR="00C03177" w:rsidRPr="00A66CB9" w:rsidRDefault="00C03177" w:rsidP="00BC2A9C">
            <w:pPr>
              <w:ind w:firstLine="351"/>
              <w:rPr>
                <w:rFonts w:ascii="Arial Narrow" w:hAnsi="Arial Narrow" w:cs="Calibri"/>
                <w:i/>
                <w:color w:val="000000"/>
                <w:sz w:val="18"/>
                <w:szCs w:val="18"/>
              </w:rPr>
            </w:pPr>
            <w:r w:rsidRPr="00A66CB9">
              <w:rPr>
                <w:rFonts w:ascii="Arial Narrow" w:hAnsi="Arial Narrow" w:cs="Calibri"/>
                <w:i/>
                <w:color w:val="000000"/>
                <w:sz w:val="18"/>
                <w:szCs w:val="18"/>
              </w:rPr>
              <w:t>Otras cuestiones</w:t>
            </w:r>
            <w:r w:rsidR="00393EB0">
              <w:rPr>
                <w:rFonts w:ascii="Arial Narrow" w:hAnsi="Arial Narrow" w:cs="Calibri"/>
                <w:i/>
                <w:color w:val="000000"/>
                <w:sz w:val="18"/>
                <w:szCs w:val="18"/>
              </w:rPr>
              <w:t>*</w:t>
            </w:r>
          </w:p>
        </w:tc>
        <w:tc>
          <w:tcPr>
            <w:tcW w:w="1453" w:type="dxa"/>
            <w:tcBorders>
              <w:top w:val="nil"/>
              <w:bottom w:val="nil"/>
            </w:tcBorders>
            <w:shd w:val="clear" w:color="auto" w:fill="auto"/>
            <w:noWrap/>
            <w:vAlign w:val="center"/>
            <w:hideMark/>
          </w:tcPr>
          <w:p w14:paraId="1DFBD398" w14:textId="0DF33B39"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7</w:t>
            </w:r>
          </w:p>
        </w:tc>
        <w:tc>
          <w:tcPr>
            <w:tcW w:w="1453" w:type="dxa"/>
            <w:tcBorders>
              <w:top w:val="nil"/>
              <w:bottom w:val="nil"/>
              <w:right w:val="single" w:sz="2" w:space="0" w:color="auto"/>
            </w:tcBorders>
            <w:vAlign w:val="center"/>
          </w:tcPr>
          <w:p w14:paraId="44B0A208" w14:textId="4733A8E9"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9</w:t>
            </w:r>
          </w:p>
        </w:tc>
        <w:tc>
          <w:tcPr>
            <w:tcW w:w="1453" w:type="dxa"/>
            <w:tcBorders>
              <w:top w:val="nil"/>
              <w:left w:val="single" w:sz="2" w:space="0" w:color="auto"/>
              <w:bottom w:val="nil"/>
            </w:tcBorders>
            <w:shd w:val="clear" w:color="auto" w:fill="auto"/>
            <w:noWrap/>
            <w:vAlign w:val="center"/>
            <w:hideMark/>
          </w:tcPr>
          <w:p w14:paraId="45455409" w14:textId="75F9776B"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6</w:t>
            </w:r>
          </w:p>
        </w:tc>
        <w:tc>
          <w:tcPr>
            <w:tcW w:w="1453" w:type="dxa"/>
            <w:tcBorders>
              <w:top w:val="nil"/>
              <w:bottom w:val="nil"/>
            </w:tcBorders>
            <w:vAlign w:val="center"/>
          </w:tcPr>
          <w:p w14:paraId="03853697" w14:textId="7E67450B"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8</w:t>
            </w:r>
          </w:p>
        </w:tc>
      </w:tr>
      <w:tr w:rsidR="00C03177" w:rsidRPr="00A66CB9" w14:paraId="1F717606" w14:textId="77777777" w:rsidTr="00393EB0">
        <w:trPr>
          <w:trHeight w:val="255"/>
        </w:trPr>
        <w:tc>
          <w:tcPr>
            <w:tcW w:w="2977" w:type="dxa"/>
            <w:tcBorders>
              <w:top w:val="nil"/>
              <w:bottom w:val="single" w:sz="4" w:space="0" w:color="auto"/>
            </w:tcBorders>
            <w:shd w:val="clear" w:color="auto" w:fill="auto"/>
            <w:noWrap/>
            <w:vAlign w:val="center"/>
            <w:hideMark/>
          </w:tcPr>
          <w:p w14:paraId="6BBCE339" w14:textId="28909F9B" w:rsidR="00C03177" w:rsidRPr="00A66CB9" w:rsidRDefault="00C03177" w:rsidP="00BC2A9C">
            <w:pPr>
              <w:ind w:firstLine="351"/>
              <w:rPr>
                <w:rFonts w:ascii="Arial Narrow" w:hAnsi="Arial Narrow" w:cs="Calibri"/>
                <w:i/>
                <w:color w:val="000000"/>
                <w:sz w:val="18"/>
                <w:szCs w:val="18"/>
              </w:rPr>
            </w:pPr>
            <w:r w:rsidRPr="00A66CB9">
              <w:rPr>
                <w:rFonts w:ascii="Arial Narrow" w:hAnsi="Arial Narrow" w:cs="Calibri"/>
                <w:i/>
                <w:color w:val="000000"/>
                <w:sz w:val="18"/>
                <w:szCs w:val="18"/>
              </w:rPr>
              <w:t>Mayores 65</w:t>
            </w:r>
            <w:r>
              <w:rPr>
                <w:rFonts w:ascii="Arial Narrow" w:hAnsi="Arial Narrow" w:cs="Calibri"/>
                <w:i/>
                <w:color w:val="000000"/>
                <w:sz w:val="18"/>
                <w:szCs w:val="18"/>
              </w:rPr>
              <w:t xml:space="preserve"> años</w:t>
            </w:r>
          </w:p>
        </w:tc>
        <w:tc>
          <w:tcPr>
            <w:tcW w:w="1453" w:type="dxa"/>
            <w:tcBorders>
              <w:top w:val="nil"/>
              <w:bottom w:val="single" w:sz="4" w:space="0" w:color="auto"/>
            </w:tcBorders>
            <w:shd w:val="clear" w:color="auto" w:fill="auto"/>
            <w:noWrap/>
            <w:vAlign w:val="center"/>
            <w:hideMark/>
          </w:tcPr>
          <w:p w14:paraId="17ACFD89" w14:textId="23E3DD1F"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2</w:t>
            </w:r>
          </w:p>
        </w:tc>
        <w:tc>
          <w:tcPr>
            <w:tcW w:w="1453" w:type="dxa"/>
            <w:tcBorders>
              <w:top w:val="nil"/>
              <w:bottom w:val="single" w:sz="4" w:space="0" w:color="auto"/>
              <w:right w:val="single" w:sz="2" w:space="0" w:color="auto"/>
            </w:tcBorders>
            <w:vAlign w:val="center"/>
          </w:tcPr>
          <w:p w14:paraId="18F999B5" w14:textId="77A6A601"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2</w:t>
            </w:r>
          </w:p>
        </w:tc>
        <w:tc>
          <w:tcPr>
            <w:tcW w:w="1453" w:type="dxa"/>
            <w:tcBorders>
              <w:top w:val="nil"/>
              <w:left w:val="single" w:sz="2" w:space="0" w:color="auto"/>
              <w:bottom w:val="single" w:sz="4" w:space="0" w:color="auto"/>
            </w:tcBorders>
            <w:shd w:val="clear" w:color="auto" w:fill="auto"/>
            <w:noWrap/>
            <w:vAlign w:val="center"/>
            <w:hideMark/>
          </w:tcPr>
          <w:p w14:paraId="46C9599E" w14:textId="5AD0BCE4"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2</w:t>
            </w:r>
          </w:p>
        </w:tc>
        <w:tc>
          <w:tcPr>
            <w:tcW w:w="1453" w:type="dxa"/>
            <w:tcBorders>
              <w:top w:val="nil"/>
              <w:bottom w:val="single" w:sz="4" w:space="0" w:color="auto"/>
            </w:tcBorders>
            <w:vAlign w:val="center"/>
          </w:tcPr>
          <w:p w14:paraId="0B778152" w14:textId="14EB6773" w:rsidR="00C03177" w:rsidRPr="00A66CB9" w:rsidRDefault="00C03177" w:rsidP="00C03177">
            <w:pPr>
              <w:jc w:val="right"/>
              <w:rPr>
                <w:rFonts w:ascii="Arial Narrow" w:hAnsi="Arial Narrow" w:cs="Calibri"/>
                <w:i/>
                <w:color w:val="000000"/>
                <w:sz w:val="18"/>
                <w:szCs w:val="18"/>
              </w:rPr>
            </w:pPr>
            <w:r>
              <w:rPr>
                <w:rFonts w:ascii="Arial Narrow" w:hAnsi="Arial Narrow" w:cs="Calibri"/>
                <w:i/>
                <w:color w:val="000000"/>
                <w:sz w:val="18"/>
                <w:szCs w:val="18"/>
              </w:rPr>
              <w:t>3</w:t>
            </w:r>
          </w:p>
        </w:tc>
      </w:tr>
      <w:tr w:rsidR="00393EB0" w:rsidRPr="00535F78" w14:paraId="04B71AE4" w14:textId="77777777" w:rsidTr="00393EB0">
        <w:trPr>
          <w:trHeight w:val="255"/>
        </w:trPr>
        <w:tc>
          <w:tcPr>
            <w:tcW w:w="8789" w:type="dxa"/>
            <w:gridSpan w:val="5"/>
            <w:tcBorders>
              <w:top w:val="single" w:sz="4" w:space="0" w:color="auto"/>
              <w:bottom w:val="nil"/>
            </w:tcBorders>
            <w:shd w:val="clear" w:color="auto" w:fill="auto"/>
            <w:noWrap/>
            <w:vAlign w:val="center"/>
          </w:tcPr>
          <w:p w14:paraId="15D76E81" w14:textId="4C577124" w:rsidR="00393EB0" w:rsidRPr="00535F78" w:rsidRDefault="00393EB0" w:rsidP="00535F78">
            <w:pPr>
              <w:spacing w:before="40"/>
              <w:rPr>
                <w:rFonts w:ascii="Arial Narrow" w:hAnsi="Arial Narrow" w:cs="Calibri"/>
                <w:color w:val="000000"/>
                <w:sz w:val="16"/>
                <w:szCs w:val="16"/>
              </w:rPr>
            </w:pPr>
            <w:r w:rsidRPr="00535F78">
              <w:rPr>
                <w:rFonts w:ascii="Arial Narrow" w:hAnsi="Arial Narrow" w:cs="Calibri"/>
                <w:color w:val="000000"/>
                <w:sz w:val="16"/>
                <w:szCs w:val="16"/>
              </w:rPr>
              <w:t>*Causas identificadas por los SSB de distintos tipos (médicas, profesionales, etc.) que no permiten trabajar a las personas perceptoras de RG</w:t>
            </w:r>
          </w:p>
        </w:tc>
      </w:tr>
    </w:tbl>
    <w:p w14:paraId="4D397D5E" w14:textId="4AC036DC" w:rsidR="0099502E" w:rsidRDefault="56FDF119" w:rsidP="005E3C11">
      <w:pPr>
        <w:pStyle w:val="texto"/>
        <w:spacing w:before="240" w:after="140"/>
        <w:jc w:val="both"/>
      </w:pPr>
      <w:r>
        <w:t>En 2023</w:t>
      </w:r>
      <w:r w:rsidR="00EA1C05">
        <w:t>,</w:t>
      </w:r>
      <w:r>
        <w:t xml:space="preserve"> el gasto </w:t>
      </w:r>
      <w:r w:rsidR="7E9A565B">
        <w:t>estimado</w:t>
      </w:r>
      <w:r>
        <w:t xml:space="preserve"> para </w:t>
      </w:r>
      <w:r w:rsidR="00C03177">
        <w:t xml:space="preserve">personas </w:t>
      </w:r>
      <w:r>
        <w:t>disponible</w:t>
      </w:r>
      <w:r w:rsidR="00C03177">
        <w:t>s</w:t>
      </w:r>
      <w:r>
        <w:t xml:space="preserve"> para el empleo pierde </w:t>
      </w:r>
      <w:r w:rsidR="00C03177">
        <w:t xml:space="preserve">dos </w:t>
      </w:r>
      <w:r>
        <w:t>puntos porcentuales</w:t>
      </w:r>
      <w:r w:rsidR="00C03177">
        <w:t xml:space="preserve"> debido fundamentalmente a que aumenta el gasto destinado a personas en </w:t>
      </w:r>
      <w:r w:rsidR="00C03177" w:rsidRPr="3896A6D9">
        <w:t>situación</w:t>
      </w:r>
      <w:r w:rsidR="00C03177">
        <w:t xml:space="preserve"> administrativa irregular en tres puntos porcentuales</w:t>
      </w:r>
      <w:r>
        <w:t xml:space="preserve">. </w:t>
      </w:r>
    </w:p>
    <w:p w14:paraId="7A83F1C0" w14:textId="1E6E9DFD" w:rsidR="00805BB0" w:rsidRDefault="00805BB0" w:rsidP="00390D54">
      <w:pPr>
        <w:pStyle w:val="texto"/>
        <w:numPr>
          <w:ilvl w:val="0"/>
          <w:numId w:val="4"/>
        </w:numPr>
        <w:tabs>
          <w:tab w:val="clear" w:pos="2835"/>
          <w:tab w:val="clear" w:pos="3969"/>
          <w:tab w:val="clear" w:pos="5103"/>
          <w:tab w:val="clear" w:pos="6237"/>
          <w:tab w:val="clear" w:pos="7371"/>
          <w:tab w:val="num" w:pos="300"/>
          <w:tab w:val="left" w:pos="480"/>
          <w:tab w:val="num" w:pos="600"/>
        </w:tabs>
        <w:spacing w:after="240"/>
        <w:ind w:left="0" w:firstLine="289"/>
        <w:jc w:val="both"/>
      </w:pPr>
      <w:r>
        <w:t>Número de personas perceptoras de RG contratadas</w:t>
      </w:r>
      <w:r w:rsidR="00390D54">
        <w:t xml:space="preserve"> mientras están percibiendo esta prestación</w:t>
      </w:r>
      <w:r>
        <w:t>:</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19"/>
        <w:gridCol w:w="1134"/>
        <w:gridCol w:w="1134"/>
        <w:gridCol w:w="1134"/>
        <w:gridCol w:w="1134"/>
        <w:gridCol w:w="1134"/>
      </w:tblGrid>
      <w:tr w:rsidR="00805BB0" w:rsidRPr="00A66CB9" w14:paraId="52B29310" w14:textId="77777777" w:rsidTr="00870041">
        <w:trPr>
          <w:trHeight w:val="255"/>
        </w:trPr>
        <w:tc>
          <w:tcPr>
            <w:tcW w:w="3119" w:type="dxa"/>
            <w:tcBorders>
              <w:bottom w:val="single" w:sz="4" w:space="0" w:color="auto"/>
            </w:tcBorders>
            <w:shd w:val="clear" w:color="auto" w:fill="9CC2E5" w:themeFill="accent1" w:themeFillTint="99"/>
            <w:noWrap/>
            <w:vAlign w:val="center"/>
          </w:tcPr>
          <w:p w14:paraId="32DE4A43" w14:textId="77777777" w:rsidR="00805BB0" w:rsidRPr="003E4C67" w:rsidRDefault="00805BB0" w:rsidP="3896A6D9">
            <w:pPr>
              <w:rPr>
                <w:rFonts w:ascii="Arial" w:hAnsi="Arial" w:cs="Arial"/>
                <w:color w:val="000000"/>
                <w:sz w:val="18"/>
                <w:szCs w:val="18"/>
              </w:rPr>
            </w:pPr>
          </w:p>
        </w:tc>
        <w:tc>
          <w:tcPr>
            <w:tcW w:w="1134" w:type="dxa"/>
            <w:tcBorders>
              <w:bottom w:val="single" w:sz="4" w:space="0" w:color="auto"/>
            </w:tcBorders>
            <w:shd w:val="clear" w:color="auto" w:fill="9CC2E5" w:themeFill="accent1" w:themeFillTint="99"/>
            <w:noWrap/>
            <w:vAlign w:val="center"/>
            <w:hideMark/>
          </w:tcPr>
          <w:p w14:paraId="14D3BB64" w14:textId="77777777" w:rsidR="00805BB0" w:rsidRPr="003E4C67" w:rsidRDefault="00805BB0" w:rsidP="00AB338D">
            <w:pPr>
              <w:jc w:val="right"/>
              <w:rPr>
                <w:rFonts w:ascii="Arial" w:hAnsi="Arial" w:cs="Arial"/>
                <w:bCs/>
                <w:color w:val="000000"/>
                <w:sz w:val="18"/>
                <w:szCs w:val="18"/>
              </w:rPr>
            </w:pPr>
            <w:r w:rsidRPr="003E4C67">
              <w:rPr>
                <w:rFonts w:ascii="Arial" w:hAnsi="Arial" w:cs="Arial"/>
                <w:bCs/>
                <w:color w:val="000000"/>
                <w:sz w:val="18"/>
                <w:szCs w:val="18"/>
              </w:rPr>
              <w:t>2019</w:t>
            </w:r>
          </w:p>
        </w:tc>
        <w:tc>
          <w:tcPr>
            <w:tcW w:w="1134" w:type="dxa"/>
            <w:tcBorders>
              <w:bottom w:val="single" w:sz="4" w:space="0" w:color="auto"/>
            </w:tcBorders>
            <w:shd w:val="clear" w:color="auto" w:fill="9CC2E5" w:themeFill="accent1" w:themeFillTint="99"/>
            <w:noWrap/>
            <w:vAlign w:val="center"/>
            <w:hideMark/>
          </w:tcPr>
          <w:p w14:paraId="19C8B702" w14:textId="77777777" w:rsidR="00805BB0" w:rsidRPr="003E4C67" w:rsidRDefault="00805BB0" w:rsidP="00AB338D">
            <w:pPr>
              <w:jc w:val="right"/>
              <w:rPr>
                <w:rFonts w:ascii="Arial" w:hAnsi="Arial" w:cs="Arial"/>
                <w:bCs/>
                <w:color w:val="000000"/>
                <w:sz w:val="18"/>
                <w:szCs w:val="18"/>
              </w:rPr>
            </w:pPr>
            <w:r w:rsidRPr="003E4C67">
              <w:rPr>
                <w:rFonts w:ascii="Arial" w:hAnsi="Arial" w:cs="Arial"/>
                <w:bCs/>
                <w:color w:val="000000"/>
                <w:sz w:val="18"/>
                <w:szCs w:val="18"/>
              </w:rPr>
              <w:t>2020</w:t>
            </w:r>
          </w:p>
        </w:tc>
        <w:tc>
          <w:tcPr>
            <w:tcW w:w="1134" w:type="dxa"/>
            <w:tcBorders>
              <w:bottom w:val="single" w:sz="4" w:space="0" w:color="auto"/>
            </w:tcBorders>
            <w:shd w:val="clear" w:color="auto" w:fill="9CC2E5" w:themeFill="accent1" w:themeFillTint="99"/>
            <w:noWrap/>
            <w:vAlign w:val="center"/>
            <w:hideMark/>
          </w:tcPr>
          <w:p w14:paraId="44218CBC" w14:textId="77777777" w:rsidR="00805BB0" w:rsidRPr="003E4C67" w:rsidRDefault="00805BB0" w:rsidP="00AB338D">
            <w:pPr>
              <w:jc w:val="right"/>
              <w:rPr>
                <w:rFonts w:ascii="Arial" w:hAnsi="Arial" w:cs="Arial"/>
                <w:bCs/>
                <w:color w:val="000000"/>
                <w:sz w:val="18"/>
                <w:szCs w:val="18"/>
              </w:rPr>
            </w:pPr>
            <w:r w:rsidRPr="003E4C67">
              <w:rPr>
                <w:rFonts w:ascii="Arial" w:hAnsi="Arial" w:cs="Arial"/>
                <w:bCs/>
                <w:color w:val="000000"/>
                <w:sz w:val="18"/>
                <w:szCs w:val="18"/>
              </w:rPr>
              <w:t>2021</w:t>
            </w:r>
          </w:p>
        </w:tc>
        <w:tc>
          <w:tcPr>
            <w:tcW w:w="1134" w:type="dxa"/>
            <w:tcBorders>
              <w:bottom w:val="single" w:sz="4" w:space="0" w:color="auto"/>
            </w:tcBorders>
            <w:shd w:val="clear" w:color="auto" w:fill="9CC2E5" w:themeFill="accent1" w:themeFillTint="99"/>
            <w:noWrap/>
            <w:vAlign w:val="center"/>
            <w:hideMark/>
          </w:tcPr>
          <w:p w14:paraId="5620ED4D" w14:textId="77777777" w:rsidR="00805BB0" w:rsidRPr="003E4C67" w:rsidRDefault="00805BB0" w:rsidP="00AB338D">
            <w:pPr>
              <w:jc w:val="right"/>
              <w:rPr>
                <w:rFonts w:ascii="Arial" w:hAnsi="Arial" w:cs="Arial"/>
                <w:bCs/>
                <w:color w:val="000000"/>
                <w:sz w:val="18"/>
                <w:szCs w:val="18"/>
              </w:rPr>
            </w:pPr>
            <w:r w:rsidRPr="003E4C67">
              <w:rPr>
                <w:rFonts w:ascii="Arial" w:hAnsi="Arial" w:cs="Arial"/>
                <w:bCs/>
                <w:color w:val="000000"/>
                <w:sz w:val="18"/>
                <w:szCs w:val="18"/>
              </w:rPr>
              <w:t>2022</w:t>
            </w:r>
          </w:p>
        </w:tc>
        <w:tc>
          <w:tcPr>
            <w:tcW w:w="1134" w:type="dxa"/>
            <w:tcBorders>
              <w:bottom w:val="single" w:sz="4" w:space="0" w:color="auto"/>
            </w:tcBorders>
            <w:shd w:val="clear" w:color="auto" w:fill="9CC2E5" w:themeFill="accent1" w:themeFillTint="99"/>
            <w:noWrap/>
            <w:vAlign w:val="center"/>
            <w:hideMark/>
          </w:tcPr>
          <w:p w14:paraId="483C771E" w14:textId="77777777" w:rsidR="00805BB0" w:rsidRPr="00A66CB9" w:rsidRDefault="00805BB0" w:rsidP="3896A6D9">
            <w:pPr>
              <w:jc w:val="right"/>
              <w:rPr>
                <w:rFonts w:ascii="Arial" w:hAnsi="Arial" w:cs="Arial"/>
                <w:color w:val="000000"/>
                <w:sz w:val="18"/>
                <w:szCs w:val="18"/>
              </w:rPr>
            </w:pPr>
            <w:r w:rsidRPr="3896A6D9">
              <w:rPr>
                <w:rFonts w:ascii="Arial" w:hAnsi="Arial" w:cs="Arial"/>
                <w:color w:val="000000" w:themeColor="text1"/>
                <w:sz w:val="18"/>
                <w:szCs w:val="18"/>
              </w:rPr>
              <w:t>2023</w:t>
            </w:r>
          </w:p>
        </w:tc>
      </w:tr>
      <w:tr w:rsidR="00805BB0" w:rsidRPr="00A66CB9" w14:paraId="1AAD5E89" w14:textId="77777777" w:rsidTr="00870041">
        <w:trPr>
          <w:trHeight w:val="198"/>
        </w:trPr>
        <w:tc>
          <w:tcPr>
            <w:tcW w:w="3119" w:type="dxa"/>
            <w:tcBorders>
              <w:bottom w:val="single" w:sz="4" w:space="0" w:color="auto"/>
            </w:tcBorders>
            <w:shd w:val="clear" w:color="auto" w:fill="auto"/>
            <w:noWrap/>
            <w:vAlign w:val="center"/>
            <w:hideMark/>
          </w:tcPr>
          <w:p w14:paraId="27C0AC7F" w14:textId="77777777" w:rsidR="00805BB0" w:rsidRPr="00A66CB9" w:rsidRDefault="00805BB0" w:rsidP="00AB338D">
            <w:pPr>
              <w:rPr>
                <w:rFonts w:ascii="Arial Narrow" w:hAnsi="Arial Narrow" w:cs="Calibri"/>
                <w:color w:val="000000"/>
                <w:sz w:val="20"/>
                <w:szCs w:val="20"/>
              </w:rPr>
            </w:pPr>
            <w:r>
              <w:rPr>
                <w:rFonts w:ascii="Arial Narrow" w:hAnsi="Arial Narrow" w:cs="Calibri"/>
                <w:color w:val="000000"/>
                <w:sz w:val="20"/>
                <w:szCs w:val="20"/>
              </w:rPr>
              <w:t xml:space="preserve">Nº personas que acceden a un trabajo </w:t>
            </w:r>
          </w:p>
        </w:tc>
        <w:tc>
          <w:tcPr>
            <w:tcW w:w="1134" w:type="dxa"/>
            <w:tcBorders>
              <w:bottom w:val="single" w:sz="4" w:space="0" w:color="auto"/>
            </w:tcBorders>
            <w:shd w:val="clear" w:color="auto" w:fill="auto"/>
            <w:noWrap/>
            <w:vAlign w:val="center"/>
            <w:hideMark/>
          </w:tcPr>
          <w:p w14:paraId="25A65C41" w14:textId="77777777" w:rsidR="00805BB0" w:rsidRPr="00862E12" w:rsidRDefault="00805BB0" w:rsidP="00AB338D">
            <w:pPr>
              <w:jc w:val="right"/>
              <w:rPr>
                <w:rFonts w:ascii="Arial Narrow" w:hAnsi="Arial Narrow" w:cs="Calibri"/>
                <w:color w:val="000000"/>
                <w:sz w:val="20"/>
                <w:szCs w:val="20"/>
              </w:rPr>
            </w:pPr>
            <w:r>
              <w:rPr>
                <w:rFonts w:ascii="Arial Narrow" w:hAnsi="Arial Narrow" w:cs="Calibri"/>
                <w:color w:val="000000"/>
                <w:sz w:val="20"/>
                <w:szCs w:val="20"/>
              </w:rPr>
              <w:t>5.134</w:t>
            </w:r>
          </w:p>
        </w:tc>
        <w:tc>
          <w:tcPr>
            <w:tcW w:w="1134" w:type="dxa"/>
            <w:tcBorders>
              <w:bottom w:val="single" w:sz="4" w:space="0" w:color="auto"/>
            </w:tcBorders>
            <w:shd w:val="clear" w:color="auto" w:fill="auto"/>
            <w:noWrap/>
            <w:vAlign w:val="center"/>
            <w:hideMark/>
          </w:tcPr>
          <w:p w14:paraId="7A2DF477" w14:textId="77777777" w:rsidR="00805BB0" w:rsidRPr="00862E12" w:rsidRDefault="00805BB0" w:rsidP="00AB338D">
            <w:pPr>
              <w:jc w:val="right"/>
              <w:rPr>
                <w:rFonts w:ascii="Arial Narrow" w:hAnsi="Arial Narrow" w:cs="Calibri"/>
                <w:color w:val="000000"/>
                <w:sz w:val="20"/>
                <w:szCs w:val="20"/>
              </w:rPr>
            </w:pPr>
            <w:r>
              <w:rPr>
                <w:rFonts w:ascii="Arial Narrow" w:hAnsi="Arial Narrow" w:cs="Calibri"/>
                <w:color w:val="000000"/>
                <w:sz w:val="20"/>
                <w:szCs w:val="20"/>
              </w:rPr>
              <w:t>4.733</w:t>
            </w:r>
          </w:p>
        </w:tc>
        <w:tc>
          <w:tcPr>
            <w:tcW w:w="1134" w:type="dxa"/>
            <w:tcBorders>
              <w:bottom w:val="single" w:sz="4" w:space="0" w:color="auto"/>
            </w:tcBorders>
            <w:shd w:val="clear" w:color="auto" w:fill="auto"/>
            <w:noWrap/>
            <w:vAlign w:val="center"/>
            <w:hideMark/>
          </w:tcPr>
          <w:p w14:paraId="500864AD" w14:textId="77777777" w:rsidR="00805BB0" w:rsidRPr="00862E12" w:rsidRDefault="00805BB0" w:rsidP="00AB338D">
            <w:pPr>
              <w:jc w:val="right"/>
              <w:rPr>
                <w:rFonts w:ascii="Arial Narrow" w:hAnsi="Arial Narrow" w:cs="Calibri"/>
                <w:color w:val="000000"/>
                <w:sz w:val="20"/>
                <w:szCs w:val="20"/>
              </w:rPr>
            </w:pPr>
            <w:r>
              <w:rPr>
                <w:rFonts w:ascii="Arial Narrow" w:hAnsi="Arial Narrow" w:cs="Calibri"/>
                <w:color w:val="000000"/>
                <w:sz w:val="20"/>
                <w:szCs w:val="20"/>
              </w:rPr>
              <w:t>5.630</w:t>
            </w:r>
          </w:p>
        </w:tc>
        <w:tc>
          <w:tcPr>
            <w:tcW w:w="1134" w:type="dxa"/>
            <w:tcBorders>
              <w:bottom w:val="single" w:sz="4" w:space="0" w:color="auto"/>
            </w:tcBorders>
            <w:shd w:val="clear" w:color="auto" w:fill="auto"/>
            <w:noWrap/>
            <w:vAlign w:val="center"/>
            <w:hideMark/>
          </w:tcPr>
          <w:p w14:paraId="6D0B2CF7" w14:textId="77777777" w:rsidR="00805BB0" w:rsidRPr="00862E12" w:rsidRDefault="00805BB0" w:rsidP="00AB338D">
            <w:pPr>
              <w:jc w:val="right"/>
              <w:rPr>
                <w:rFonts w:ascii="Arial Narrow" w:hAnsi="Arial Narrow" w:cs="Calibri"/>
                <w:color w:val="000000"/>
                <w:sz w:val="20"/>
                <w:szCs w:val="20"/>
              </w:rPr>
            </w:pPr>
            <w:r>
              <w:rPr>
                <w:rFonts w:ascii="Arial Narrow" w:hAnsi="Arial Narrow" w:cs="Calibri"/>
                <w:color w:val="000000"/>
                <w:sz w:val="20"/>
                <w:szCs w:val="20"/>
              </w:rPr>
              <w:t>5.132</w:t>
            </w:r>
          </w:p>
        </w:tc>
        <w:tc>
          <w:tcPr>
            <w:tcW w:w="1134" w:type="dxa"/>
            <w:tcBorders>
              <w:bottom w:val="single" w:sz="4" w:space="0" w:color="auto"/>
            </w:tcBorders>
            <w:shd w:val="clear" w:color="auto" w:fill="auto"/>
            <w:noWrap/>
            <w:vAlign w:val="center"/>
            <w:hideMark/>
          </w:tcPr>
          <w:p w14:paraId="60C9040D" w14:textId="77777777" w:rsidR="00805BB0" w:rsidRPr="00862E12" w:rsidRDefault="00805BB0" w:rsidP="00AB338D">
            <w:pPr>
              <w:jc w:val="right"/>
              <w:rPr>
                <w:rFonts w:ascii="Arial Narrow" w:hAnsi="Arial Narrow" w:cs="Calibri"/>
                <w:color w:val="000000"/>
                <w:sz w:val="20"/>
                <w:szCs w:val="20"/>
              </w:rPr>
            </w:pPr>
            <w:r>
              <w:rPr>
                <w:rFonts w:ascii="Arial Narrow" w:hAnsi="Arial Narrow" w:cs="Calibri"/>
                <w:color w:val="000000"/>
                <w:sz w:val="20"/>
                <w:szCs w:val="20"/>
              </w:rPr>
              <w:t>4.022</w:t>
            </w:r>
          </w:p>
        </w:tc>
      </w:tr>
    </w:tbl>
    <w:p w14:paraId="64626C58" w14:textId="5852911B" w:rsidR="00390D54" w:rsidRDefault="00805BB0" w:rsidP="00DE7E31">
      <w:pPr>
        <w:pStyle w:val="texto"/>
        <w:tabs>
          <w:tab w:val="clear" w:pos="2835"/>
          <w:tab w:val="clear" w:pos="3969"/>
          <w:tab w:val="clear" w:pos="5103"/>
          <w:tab w:val="clear" w:pos="6237"/>
          <w:tab w:val="clear" w:pos="7371"/>
        </w:tabs>
        <w:spacing w:before="240" w:after="140"/>
        <w:jc w:val="both"/>
      </w:pPr>
      <w:r>
        <w:lastRenderedPageBreak/>
        <w:t>En el conjunto del periodo, se realizaron 24.651 contratos a 14.705 personas distintas.</w:t>
      </w:r>
    </w:p>
    <w:p w14:paraId="1E953FC3" w14:textId="6E96A990" w:rsidR="00E371C2" w:rsidRDefault="00E371C2" w:rsidP="00390D54">
      <w:pPr>
        <w:pStyle w:val="texto"/>
        <w:numPr>
          <w:ilvl w:val="0"/>
          <w:numId w:val="4"/>
        </w:numPr>
        <w:tabs>
          <w:tab w:val="clear" w:pos="2835"/>
          <w:tab w:val="clear" w:pos="3969"/>
          <w:tab w:val="clear" w:pos="5103"/>
          <w:tab w:val="clear" w:pos="6237"/>
          <w:tab w:val="clear" w:pos="7371"/>
          <w:tab w:val="num" w:pos="300"/>
          <w:tab w:val="left" w:pos="480"/>
          <w:tab w:val="num" w:pos="600"/>
        </w:tabs>
        <w:spacing w:after="240"/>
        <w:ind w:left="0" w:firstLine="289"/>
        <w:jc w:val="both"/>
      </w:pPr>
      <w:r>
        <w:t xml:space="preserve">Porcentaje de personas que acceden a un trabajo siendo perceptoras de RG </w:t>
      </w:r>
      <w:r w:rsidR="30F87925">
        <w:t>respecto al</w:t>
      </w:r>
      <w:r>
        <w:t xml:space="preserve"> número de personas disponibles para el empleo:</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19"/>
        <w:gridCol w:w="1134"/>
        <w:gridCol w:w="1134"/>
        <w:gridCol w:w="1134"/>
        <w:gridCol w:w="1134"/>
        <w:gridCol w:w="1134"/>
      </w:tblGrid>
      <w:tr w:rsidR="00E371C2" w:rsidRPr="00A66CB9" w14:paraId="5DEDCE61" w14:textId="77777777" w:rsidTr="3896A6D9">
        <w:trPr>
          <w:trHeight w:val="255"/>
        </w:trPr>
        <w:tc>
          <w:tcPr>
            <w:tcW w:w="3119" w:type="dxa"/>
            <w:shd w:val="clear" w:color="auto" w:fill="9CC2E5" w:themeFill="accent1" w:themeFillTint="99"/>
            <w:noWrap/>
            <w:vAlign w:val="center"/>
          </w:tcPr>
          <w:p w14:paraId="01BAC357" w14:textId="77777777" w:rsidR="00E371C2" w:rsidRPr="003E4C67" w:rsidRDefault="00E371C2" w:rsidP="00AB338D">
            <w:pPr>
              <w:rPr>
                <w:rFonts w:ascii="Arial" w:hAnsi="Arial" w:cs="Arial"/>
                <w:bCs/>
                <w:color w:val="000000"/>
                <w:sz w:val="18"/>
                <w:szCs w:val="18"/>
              </w:rPr>
            </w:pPr>
          </w:p>
        </w:tc>
        <w:tc>
          <w:tcPr>
            <w:tcW w:w="1134" w:type="dxa"/>
            <w:shd w:val="clear" w:color="auto" w:fill="9CC2E5" w:themeFill="accent1" w:themeFillTint="99"/>
            <w:noWrap/>
            <w:vAlign w:val="center"/>
            <w:hideMark/>
          </w:tcPr>
          <w:p w14:paraId="74E48039" w14:textId="77777777" w:rsidR="00E371C2" w:rsidRPr="003E4C67" w:rsidRDefault="00E371C2" w:rsidP="00AB338D">
            <w:pPr>
              <w:jc w:val="right"/>
              <w:rPr>
                <w:rFonts w:ascii="Arial" w:hAnsi="Arial" w:cs="Arial"/>
                <w:bCs/>
                <w:color w:val="000000"/>
                <w:sz w:val="18"/>
                <w:szCs w:val="18"/>
              </w:rPr>
            </w:pPr>
            <w:r w:rsidRPr="003E4C67">
              <w:rPr>
                <w:rFonts w:ascii="Arial" w:hAnsi="Arial" w:cs="Arial"/>
                <w:bCs/>
                <w:color w:val="000000"/>
                <w:sz w:val="18"/>
                <w:szCs w:val="18"/>
              </w:rPr>
              <w:t>2019</w:t>
            </w:r>
          </w:p>
        </w:tc>
        <w:tc>
          <w:tcPr>
            <w:tcW w:w="1134" w:type="dxa"/>
            <w:shd w:val="clear" w:color="auto" w:fill="9CC2E5" w:themeFill="accent1" w:themeFillTint="99"/>
            <w:noWrap/>
            <w:vAlign w:val="center"/>
            <w:hideMark/>
          </w:tcPr>
          <w:p w14:paraId="7D17FD92" w14:textId="77777777" w:rsidR="00E371C2" w:rsidRPr="003E4C67" w:rsidRDefault="00E371C2" w:rsidP="00AB338D">
            <w:pPr>
              <w:jc w:val="right"/>
              <w:rPr>
                <w:rFonts w:ascii="Arial" w:hAnsi="Arial" w:cs="Arial"/>
                <w:bCs/>
                <w:color w:val="000000"/>
                <w:sz w:val="18"/>
                <w:szCs w:val="18"/>
              </w:rPr>
            </w:pPr>
            <w:r w:rsidRPr="003E4C67">
              <w:rPr>
                <w:rFonts w:ascii="Arial" w:hAnsi="Arial" w:cs="Arial"/>
                <w:bCs/>
                <w:color w:val="000000"/>
                <w:sz w:val="18"/>
                <w:szCs w:val="18"/>
              </w:rPr>
              <w:t>2020</w:t>
            </w:r>
          </w:p>
        </w:tc>
        <w:tc>
          <w:tcPr>
            <w:tcW w:w="1134" w:type="dxa"/>
            <w:shd w:val="clear" w:color="auto" w:fill="9CC2E5" w:themeFill="accent1" w:themeFillTint="99"/>
            <w:noWrap/>
            <w:vAlign w:val="center"/>
            <w:hideMark/>
          </w:tcPr>
          <w:p w14:paraId="1C67CC58" w14:textId="77777777" w:rsidR="00E371C2" w:rsidRPr="003E4C67" w:rsidRDefault="00E371C2" w:rsidP="00AB338D">
            <w:pPr>
              <w:jc w:val="right"/>
              <w:rPr>
                <w:rFonts w:ascii="Arial" w:hAnsi="Arial" w:cs="Arial"/>
                <w:bCs/>
                <w:color w:val="000000"/>
                <w:sz w:val="18"/>
                <w:szCs w:val="18"/>
              </w:rPr>
            </w:pPr>
            <w:r w:rsidRPr="003E4C67">
              <w:rPr>
                <w:rFonts w:ascii="Arial" w:hAnsi="Arial" w:cs="Arial"/>
                <w:bCs/>
                <w:color w:val="000000"/>
                <w:sz w:val="18"/>
                <w:szCs w:val="18"/>
              </w:rPr>
              <w:t>2021</w:t>
            </w:r>
          </w:p>
        </w:tc>
        <w:tc>
          <w:tcPr>
            <w:tcW w:w="1134" w:type="dxa"/>
            <w:shd w:val="clear" w:color="auto" w:fill="9CC2E5" w:themeFill="accent1" w:themeFillTint="99"/>
            <w:noWrap/>
            <w:vAlign w:val="center"/>
            <w:hideMark/>
          </w:tcPr>
          <w:p w14:paraId="5516FAA6" w14:textId="77777777" w:rsidR="00E371C2" w:rsidRPr="003E4C67" w:rsidRDefault="00E371C2" w:rsidP="00AB338D">
            <w:pPr>
              <w:jc w:val="right"/>
              <w:rPr>
                <w:rFonts w:ascii="Arial" w:hAnsi="Arial" w:cs="Arial"/>
                <w:bCs/>
                <w:color w:val="000000"/>
                <w:sz w:val="18"/>
                <w:szCs w:val="18"/>
              </w:rPr>
            </w:pPr>
            <w:r w:rsidRPr="003E4C67">
              <w:rPr>
                <w:rFonts w:ascii="Arial" w:hAnsi="Arial" w:cs="Arial"/>
                <w:bCs/>
                <w:color w:val="000000"/>
                <w:sz w:val="18"/>
                <w:szCs w:val="18"/>
              </w:rPr>
              <w:t>2022</w:t>
            </w:r>
          </w:p>
        </w:tc>
        <w:tc>
          <w:tcPr>
            <w:tcW w:w="1134" w:type="dxa"/>
            <w:shd w:val="clear" w:color="auto" w:fill="9CC2E5" w:themeFill="accent1" w:themeFillTint="99"/>
            <w:noWrap/>
            <w:vAlign w:val="center"/>
            <w:hideMark/>
          </w:tcPr>
          <w:p w14:paraId="6D9A925C" w14:textId="77777777" w:rsidR="00E371C2" w:rsidRPr="00A66CB9" w:rsidRDefault="00E371C2" w:rsidP="00AB338D">
            <w:pPr>
              <w:jc w:val="right"/>
              <w:rPr>
                <w:rFonts w:ascii="Arial" w:hAnsi="Arial" w:cs="Arial"/>
                <w:bCs/>
                <w:color w:val="000000"/>
                <w:sz w:val="18"/>
                <w:szCs w:val="18"/>
              </w:rPr>
            </w:pPr>
            <w:r w:rsidRPr="003E4C67">
              <w:rPr>
                <w:rFonts w:ascii="Arial" w:hAnsi="Arial" w:cs="Arial"/>
                <w:bCs/>
                <w:color w:val="000000"/>
                <w:sz w:val="18"/>
                <w:szCs w:val="18"/>
              </w:rPr>
              <w:t>2023</w:t>
            </w:r>
          </w:p>
        </w:tc>
      </w:tr>
      <w:tr w:rsidR="00E371C2" w:rsidRPr="00A66CB9" w14:paraId="341C14B9" w14:textId="77777777" w:rsidTr="3896A6D9">
        <w:trPr>
          <w:trHeight w:val="198"/>
        </w:trPr>
        <w:tc>
          <w:tcPr>
            <w:tcW w:w="3119" w:type="dxa"/>
            <w:tcBorders>
              <w:bottom w:val="single" w:sz="4" w:space="0" w:color="auto"/>
            </w:tcBorders>
            <w:shd w:val="clear" w:color="auto" w:fill="auto"/>
            <w:noWrap/>
            <w:vAlign w:val="center"/>
            <w:hideMark/>
          </w:tcPr>
          <w:p w14:paraId="07133BEE" w14:textId="77777777" w:rsidR="00E371C2" w:rsidRPr="00A66CB9" w:rsidRDefault="00E371C2" w:rsidP="00AB338D">
            <w:pPr>
              <w:rPr>
                <w:rFonts w:ascii="Arial Narrow" w:hAnsi="Arial Narrow" w:cs="Calibri"/>
                <w:color w:val="000000"/>
                <w:sz w:val="20"/>
                <w:szCs w:val="20"/>
              </w:rPr>
            </w:pPr>
            <w:r>
              <w:rPr>
                <w:rFonts w:ascii="Arial Narrow" w:hAnsi="Arial Narrow" w:cs="Calibri"/>
                <w:color w:val="000000"/>
                <w:sz w:val="20"/>
                <w:szCs w:val="20"/>
              </w:rPr>
              <w:t>Nº personas que acceden a un trabajo / nº personas disponibles para el empleo</w:t>
            </w:r>
          </w:p>
        </w:tc>
        <w:tc>
          <w:tcPr>
            <w:tcW w:w="1134" w:type="dxa"/>
            <w:tcBorders>
              <w:bottom w:val="single" w:sz="4" w:space="0" w:color="auto"/>
            </w:tcBorders>
            <w:shd w:val="clear" w:color="auto" w:fill="auto"/>
            <w:noWrap/>
            <w:vAlign w:val="center"/>
            <w:hideMark/>
          </w:tcPr>
          <w:p w14:paraId="07EEC107" w14:textId="77777777" w:rsidR="00E371C2" w:rsidRPr="00862E12" w:rsidRDefault="00E371C2" w:rsidP="00AB338D">
            <w:pPr>
              <w:jc w:val="right"/>
              <w:rPr>
                <w:rFonts w:ascii="Arial Narrow" w:hAnsi="Arial Narrow" w:cs="Calibri"/>
                <w:color w:val="000000"/>
                <w:sz w:val="20"/>
                <w:szCs w:val="20"/>
              </w:rPr>
            </w:pPr>
            <w:r>
              <w:rPr>
                <w:rFonts w:ascii="Arial Narrow" w:hAnsi="Arial Narrow" w:cs="Calibri"/>
                <w:color w:val="000000"/>
                <w:sz w:val="20"/>
                <w:szCs w:val="20"/>
              </w:rPr>
              <w:t>-</w:t>
            </w:r>
          </w:p>
        </w:tc>
        <w:tc>
          <w:tcPr>
            <w:tcW w:w="1134" w:type="dxa"/>
            <w:tcBorders>
              <w:bottom w:val="single" w:sz="4" w:space="0" w:color="auto"/>
            </w:tcBorders>
            <w:shd w:val="clear" w:color="auto" w:fill="auto"/>
            <w:noWrap/>
            <w:vAlign w:val="center"/>
            <w:hideMark/>
          </w:tcPr>
          <w:p w14:paraId="6D6FD96B" w14:textId="77777777" w:rsidR="00E371C2" w:rsidRPr="00862E12" w:rsidRDefault="00E371C2" w:rsidP="00AB338D">
            <w:pPr>
              <w:jc w:val="right"/>
              <w:rPr>
                <w:rFonts w:ascii="Arial Narrow" w:hAnsi="Arial Narrow" w:cs="Calibri"/>
                <w:color w:val="000000"/>
                <w:sz w:val="20"/>
                <w:szCs w:val="20"/>
              </w:rPr>
            </w:pPr>
            <w:r>
              <w:rPr>
                <w:rFonts w:ascii="Arial Narrow" w:hAnsi="Arial Narrow" w:cs="Calibri"/>
                <w:color w:val="000000"/>
                <w:sz w:val="20"/>
                <w:szCs w:val="20"/>
              </w:rPr>
              <w:t>-</w:t>
            </w:r>
          </w:p>
        </w:tc>
        <w:tc>
          <w:tcPr>
            <w:tcW w:w="1134" w:type="dxa"/>
            <w:tcBorders>
              <w:bottom w:val="single" w:sz="4" w:space="0" w:color="auto"/>
            </w:tcBorders>
            <w:shd w:val="clear" w:color="auto" w:fill="auto"/>
            <w:noWrap/>
            <w:vAlign w:val="center"/>
            <w:hideMark/>
          </w:tcPr>
          <w:p w14:paraId="76F4E0B1" w14:textId="77777777" w:rsidR="00E371C2" w:rsidRPr="00862E12" w:rsidRDefault="00E371C2" w:rsidP="00AB338D">
            <w:pPr>
              <w:jc w:val="right"/>
              <w:rPr>
                <w:rFonts w:ascii="Arial Narrow" w:hAnsi="Arial Narrow" w:cs="Calibri"/>
                <w:color w:val="000000"/>
                <w:sz w:val="20"/>
                <w:szCs w:val="20"/>
              </w:rPr>
            </w:pPr>
            <w:r w:rsidRPr="3896A6D9">
              <w:rPr>
                <w:rFonts w:ascii="Arial Narrow" w:hAnsi="Arial Narrow" w:cs="Calibri"/>
                <w:color w:val="000000" w:themeColor="text1"/>
                <w:sz w:val="20"/>
                <w:szCs w:val="20"/>
              </w:rPr>
              <w:t>30</w:t>
            </w:r>
          </w:p>
        </w:tc>
        <w:tc>
          <w:tcPr>
            <w:tcW w:w="1134" w:type="dxa"/>
            <w:tcBorders>
              <w:bottom w:val="single" w:sz="4" w:space="0" w:color="auto"/>
            </w:tcBorders>
            <w:shd w:val="clear" w:color="auto" w:fill="auto"/>
            <w:noWrap/>
            <w:vAlign w:val="center"/>
            <w:hideMark/>
          </w:tcPr>
          <w:p w14:paraId="2B5CEC33" w14:textId="77777777" w:rsidR="00E371C2" w:rsidRPr="00862E12" w:rsidRDefault="00E371C2" w:rsidP="00AB338D">
            <w:pPr>
              <w:jc w:val="right"/>
              <w:rPr>
                <w:rFonts w:ascii="Arial Narrow" w:hAnsi="Arial Narrow" w:cs="Calibri"/>
                <w:color w:val="000000"/>
                <w:sz w:val="20"/>
                <w:szCs w:val="20"/>
              </w:rPr>
            </w:pPr>
            <w:r>
              <w:rPr>
                <w:rFonts w:ascii="Arial Narrow" w:hAnsi="Arial Narrow" w:cs="Calibri"/>
                <w:color w:val="000000"/>
                <w:sz w:val="20"/>
                <w:szCs w:val="20"/>
              </w:rPr>
              <w:t>30</w:t>
            </w:r>
          </w:p>
        </w:tc>
        <w:tc>
          <w:tcPr>
            <w:tcW w:w="1134" w:type="dxa"/>
            <w:tcBorders>
              <w:bottom w:val="single" w:sz="4" w:space="0" w:color="auto"/>
            </w:tcBorders>
            <w:shd w:val="clear" w:color="auto" w:fill="auto"/>
            <w:noWrap/>
            <w:vAlign w:val="center"/>
            <w:hideMark/>
          </w:tcPr>
          <w:p w14:paraId="26DE2AC8" w14:textId="77777777" w:rsidR="00E371C2" w:rsidRPr="00862E12" w:rsidRDefault="00E371C2" w:rsidP="00AB338D">
            <w:pPr>
              <w:jc w:val="right"/>
              <w:rPr>
                <w:rFonts w:ascii="Arial Narrow" w:hAnsi="Arial Narrow" w:cs="Calibri"/>
                <w:color w:val="000000"/>
                <w:sz w:val="20"/>
                <w:szCs w:val="20"/>
              </w:rPr>
            </w:pPr>
            <w:r w:rsidRPr="3896A6D9">
              <w:rPr>
                <w:rFonts w:ascii="Arial Narrow" w:hAnsi="Arial Narrow" w:cs="Calibri"/>
                <w:color w:val="000000" w:themeColor="text1"/>
                <w:sz w:val="20"/>
                <w:szCs w:val="20"/>
              </w:rPr>
              <w:t>26</w:t>
            </w:r>
          </w:p>
        </w:tc>
      </w:tr>
    </w:tbl>
    <w:p w14:paraId="200C4ADC" w14:textId="77777777" w:rsidR="00DF1D6D" w:rsidRDefault="00E371C2" w:rsidP="005D5278">
      <w:pPr>
        <w:pStyle w:val="texto"/>
        <w:spacing w:before="240" w:after="140"/>
        <w:jc w:val="both"/>
      </w:pPr>
      <w:r>
        <w:t xml:space="preserve">En 2023, accedieron a un trabajo el 26 por </w:t>
      </w:r>
      <w:r w:rsidRPr="3896A6D9">
        <w:t>ciento</w:t>
      </w:r>
      <w:r w:rsidR="296E128E" w:rsidRPr="3896A6D9">
        <w:t xml:space="preserve"> </w:t>
      </w:r>
      <w:r w:rsidR="296E128E">
        <w:t>de las personas disponibles para el empleo</w:t>
      </w:r>
      <w:r w:rsidR="00074BC5">
        <w:t>, cifra inferior a la de 2021 y 2022 en cuatro puntos porcentuales</w:t>
      </w:r>
      <w:r>
        <w:t>.</w:t>
      </w:r>
    </w:p>
    <w:p w14:paraId="4AD4D3C1" w14:textId="590A1F21" w:rsidR="00C577CC" w:rsidRPr="0027110E" w:rsidRDefault="00C577CC"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rsidRPr="0027110E">
        <w:t>Tiempo transcurrido entre que una persona deja de percibir RG por acceder a un trabajo y la retoma</w:t>
      </w:r>
      <w:r w:rsidR="0027110E" w:rsidRPr="0027110E">
        <w:t>:</w:t>
      </w:r>
    </w:p>
    <w:p w14:paraId="794F3B24" w14:textId="2A3BC261" w:rsidR="00C577CC" w:rsidRDefault="0CBA9D1E" w:rsidP="00393EB0">
      <w:pPr>
        <w:pStyle w:val="texto"/>
        <w:spacing w:after="240"/>
        <w:jc w:val="both"/>
      </w:pPr>
      <w:r>
        <w:t xml:space="preserve">En el conjunto del periodo analizado, </w:t>
      </w:r>
      <w:r w:rsidR="62636F7D">
        <w:t xml:space="preserve">21.563 personas dejaron de percibir la RG </w:t>
      </w:r>
      <w:r>
        <w:t xml:space="preserve">por distintos </w:t>
      </w:r>
      <w:r w:rsidRPr="3896A6D9">
        <w:t>motivos</w:t>
      </w:r>
      <w:r>
        <w:t xml:space="preserve">, pero </w:t>
      </w:r>
      <w:r w:rsidR="004E2EE4">
        <w:t>volvieron</w:t>
      </w:r>
      <w:r>
        <w:t xml:space="preserve"> a retomar su percepción. </w:t>
      </w:r>
      <w:r w:rsidR="7C166C8A">
        <w:t>D</w:t>
      </w:r>
      <w:r w:rsidR="2F37745B">
        <w:t xml:space="preserve">e estas 21.563 </w:t>
      </w:r>
      <w:r w:rsidR="2F37745B" w:rsidRPr="3896A6D9">
        <w:t>personas</w:t>
      </w:r>
      <w:r w:rsidR="2F37745B">
        <w:t xml:space="preserve">, 2.228 </w:t>
      </w:r>
      <w:r w:rsidR="002139E5">
        <w:t xml:space="preserve">dejan de percibirla porque acceden </w:t>
      </w:r>
      <w:r w:rsidR="2F37745B">
        <w:t>a un trabajo</w:t>
      </w:r>
      <w:r w:rsidR="00C577CC">
        <w:t xml:space="preserve"> y el tiempo que transcurre entre este momento y la vuelta a percibir la RG es el siguiente:</w:t>
      </w:r>
    </w:p>
    <w:tbl>
      <w:tblPr>
        <w:tblW w:w="8794" w:type="dxa"/>
        <w:tblInd w:w="-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557"/>
        <w:gridCol w:w="2127"/>
        <w:gridCol w:w="2126"/>
        <w:gridCol w:w="1984"/>
      </w:tblGrid>
      <w:tr w:rsidR="00C577CC" w:rsidRPr="00574383" w14:paraId="69C3193F" w14:textId="77777777" w:rsidTr="00B07A5F">
        <w:trPr>
          <w:trHeight w:val="255"/>
        </w:trPr>
        <w:tc>
          <w:tcPr>
            <w:tcW w:w="2557" w:type="dxa"/>
            <w:tcBorders>
              <w:bottom w:val="single" w:sz="4" w:space="0" w:color="auto"/>
            </w:tcBorders>
            <w:shd w:val="clear" w:color="auto" w:fill="9CC2E5" w:themeFill="accent1" w:themeFillTint="99"/>
            <w:noWrap/>
            <w:vAlign w:val="bottom"/>
            <w:hideMark/>
          </w:tcPr>
          <w:p w14:paraId="7385961E" w14:textId="77777777" w:rsidR="00C577CC" w:rsidRPr="00574383" w:rsidRDefault="00C577CC" w:rsidP="00AB338D">
            <w:pPr>
              <w:rPr>
                <w:rFonts w:ascii="Arial" w:hAnsi="Arial" w:cs="Arial"/>
                <w:color w:val="000000"/>
                <w:sz w:val="18"/>
                <w:szCs w:val="18"/>
              </w:rPr>
            </w:pPr>
            <w:r w:rsidRPr="00574383">
              <w:rPr>
                <w:rFonts w:ascii="Arial" w:hAnsi="Arial" w:cs="Arial"/>
                <w:color w:val="000000"/>
                <w:sz w:val="18"/>
                <w:szCs w:val="18"/>
              </w:rPr>
              <w:t> </w:t>
            </w:r>
          </w:p>
        </w:tc>
        <w:tc>
          <w:tcPr>
            <w:tcW w:w="2127" w:type="dxa"/>
            <w:tcBorders>
              <w:bottom w:val="single" w:sz="4" w:space="0" w:color="auto"/>
            </w:tcBorders>
            <w:shd w:val="clear" w:color="auto" w:fill="9CC2E5" w:themeFill="accent1" w:themeFillTint="99"/>
            <w:vAlign w:val="center"/>
            <w:hideMark/>
          </w:tcPr>
          <w:p w14:paraId="66DD03D8" w14:textId="77777777" w:rsidR="00C577CC" w:rsidRPr="00574383" w:rsidRDefault="00C577CC" w:rsidP="00B07A5F">
            <w:pPr>
              <w:jc w:val="right"/>
              <w:rPr>
                <w:rFonts w:ascii="Arial" w:hAnsi="Arial" w:cs="Arial"/>
                <w:color w:val="000000"/>
                <w:sz w:val="18"/>
                <w:szCs w:val="18"/>
              </w:rPr>
            </w:pPr>
            <w:r>
              <w:rPr>
                <w:rFonts w:ascii="Arial" w:hAnsi="Arial" w:cs="Arial"/>
                <w:color w:val="000000"/>
                <w:sz w:val="18"/>
                <w:szCs w:val="18"/>
              </w:rPr>
              <w:t>Menos tres</w:t>
            </w:r>
            <w:r w:rsidRPr="00574383">
              <w:rPr>
                <w:rFonts w:ascii="Arial" w:hAnsi="Arial" w:cs="Arial"/>
                <w:color w:val="000000"/>
                <w:sz w:val="18"/>
                <w:szCs w:val="18"/>
              </w:rPr>
              <w:t xml:space="preserve"> meses</w:t>
            </w:r>
          </w:p>
        </w:tc>
        <w:tc>
          <w:tcPr>
            <w:tcW w:w="2126" w:type="dxa"/>
            <w:tcBorders>
              <w:bottom w:val="single" w:sz="4" w:space="0" w:color="auto"/>
            </w:tcBorders>
            <w:shd w:val="clear" w:color="auto" w:fill="9CC2E5" w:themeFill="accent1" w:themeFillTint="99"/>
            <w:vAlign w:val="center"/>
            <w:hideMark/>
          </w:tcPr>
          <w:p w14:paraId="47E9548D" w14:textId="77777777" w:rsidR="00C577CC" w:rsidRPr="00574383" w:rsidRDefault="00C577CC" w:rsidP="00B07A5F">
            <w:pPr>
              <w:jc w:val="right"/>
              <w:rPr>
                <w:rFonts w:ascii="Arial" w:hAnsi="Arial" w:cs="Arial"/>
                <w:color w:val="000000"/>
                <w:sz w:val="18"/>
                <w:szCs w:val="18"/>
              </w:rPr>
            </w:pPr>
            <w:r w:rsidRPr="00574383">
              <w:rPr>
                <w:rFonts w:ascii="Arial" w:hAnsi="Arial" w:cs="Arial"/>
                <w:color w:val="000000"/>
                <w:sz w:val="18"/>
                <w:szCs w:val="18"/>
              </w:rPr>
              <w:t xml:space="preserve">Entre </w:t>
            </w:r>
            <w:r>
              <w:rPr>
                <w:rFonts w:ascii="Arial" w:hAnsi="Arial" w:cs="Arial"/>
                <w:color w:val="000000"/>
                <w:sz w:val="18"/>
                <w:szCs w:val="18"/>
              </w:rPr>
              <w:t xml:space="preserve">tres y seis </w:t>
            </w:r>
            <w:r w:rsidRPr="00574383">
              <w:rPr>
                <w:rFonts w:ascii="Arial" w:hAnsi="Arial" w:cs="Arial"/>
                <w:color w:val="000000"/>
                <w:sz w:val="18"/>
                <w:szCs w:val="18"/>
              </w:rPr>
              <w:t>meses</w:t>
            </w:r>
          </w:p>
        </w:tc>
        <w:tc>
          <w:tcPr>
            <w:tcW w:w="1984" w:type="dxa"/>
            <w:tcBorders>
              <w:bottom w:val="single" w:sz="4" w:space="0" w:color="auto"/>
            </w:tcBorders>
            <w:shd w:val="clear" w:color="auto" w:fill="9CC2E5" w:themeFill="accent1" w:themeFillTint="99"/>
            <w:vAlign w:val="center"/>
            <w:hideMark/>
          </w:tcPr>
          <w:p w14:paraId="5D5D9251" w14:textId="77777777" w:rsidR="00C577CC" w:rsidRPr="00574383" w:rsidRDefault="00C577CC" w:rsidP="00B07A5F">
            <w:pPr>
              <w:jc w:val="right"/>
              <w:rPr>
                <w:rFonts w:ascii="Arial" w:hAnsi="Arial" w:cs="Arial"/>
                <w:color w:val="000000"/>
                <w:sz w:val="18"/>
                <w:szCs w:val="18"/>
              </w:rPr>
            </w:pPr>
            <w:r>
              <w:rPr>
                <w:rFonts w:ascii="Arial" w:hAnsi="Arial" w:cs="Arial"/>
                <w:color w:val="000000"/>
                <w:sz w:val="18"/>
                <w:szCs w:val="18"/>
              </w:rPr>
              <w:t>Más de seis meses</w:t>
            </w:r>
          </w:p>
        </w:tc>
      </w:tr>
      <w:tr w:rsidR="00C577CC" w:rsidRPr="009C2DD1" w14:paraId="029FA245" w14:textId="77777777" w:rsidTr="00B07A5F">
        <w:trPr>
          <w:trHeight w:val="198"/>
        </w:trPr>
        <w:tc>
          <w:tcPr>
            <w:tcW w:w="2557" w:type="dxa"/>
            <w:tcBorders>
              <w:bottom w:val="single" w:sz="4" w:space="0" w:color="auto"/>
            </w:tcBorders>
            <w:vAlign w:val="center"/>
            <w:hideMark/>
          </w:tcPr>
          <w:p w14:paraId="7CAC6E55" w14:textId="77777777" w:rsidR="00C577CC" w:rsidRPr="009C2DD1" w:rsidRDefault="00C577CC" w:rsidP="00AB338D">
            <w:pPr>
              <w:rPr>
                <w:rFonts w:ascii="Arial Narrow" w:hAnsi="Arial Narrow" w:cs="Calibri"/>
                <w:color w:val="000000"/>
                <w:sz w:val="20"/>
                <w:szCs w:val="20"/>
              </w:rPr>
            </w:pPr>
            <w:r w:rsidRPr="009C2DD1">
              <w:rPr>
                <w:rFonts w:ascii="Arial Narrow" w:hAnsi="Arial Narrow" w:cs="Calibri"/>
                <w:color w:val="000000" w:themeColor="text1"/>
                <w:sz w:val="20"/>
                <w:szCs w:val="20"/>
              </w:rPr>
              <w:t xml:space="preserve">Nº </w:t>
            </w:r>
            <w:r>
              <w:rPr>
                <w:rFonts w:ascii="Arial Narrow" w:hAnsi="Arial Narrow" w:cs="Calibri"/>
                <w:color w:val="000000" w:themeColor="text1"/>
                <w:sz w:val="20"/>
                <w:szCs w:val="20"/>
              </w:rPr>
              <w:t>personas</w:t>
            </w:r>
            <w:r w:rsidRPr="009C2DD1">
              <w:rPr>
                <w:rFonts w:ascii="Arial Narrow" w:hAnsi="Arial Narrow" w:cs="Calibri"/>
                <w:color w:val="000000" w:themeColor="text1"/>
                <w:sz w:val="20"/>
                <w:szCs w:val="20"/>
              </w:rPr>
              <w:t xml:space="preserve"> que</w:t>
            </w:r>
            <w:r>
              <w:rPr>
                <w:rFonts w:ascii="Arial Narrow" w:hAnsi="Arial Narrow" w:cs="Calibri"/>
                <w:color w:val="000000" w:themeColor="text1"/>
                <w:sz w:val="20"/>
                <w:szCs w:val="20"/>
              </w:rPr>
              <w:t xml:space="preserve"> </w:t>
            </w:r>
            <w:r w:rsidRPr="009C2DD1">
              <w:rPr>
                <w:rFonts w:ascii="Arial Narrow" w:hAnsi="Arial Narrow" w:cs="Calibri"/>
                <w:color w:val="000000" w:themeColor="text1"/>
                <w:sz w:val="20"/>
                <w:szCs w:val="20"/>
              </w:rPr>
              <w:t>retoma</w:t>
            </w:r>
            <w:r>
              <w:rPr>
                <w:rFonts w:ascii="Arial Narrow" w:hAnsi="Arial Narrow" w:cs="Calibri"/>
                <w:color w:val="000000" w:themeColor="text1"/>
                <w:sz w:val="20"/>
                <w:szCs w:val="20"/>
              </w:rPr>
              <w:t>n</w:t>
            </w:r>
            <w:r w:rsidRPr="009C2DD1">
              <w:rPr>
                <w:rFonts w:ascii="Arial Narrow" w:hAnsi="Arial Narrow" w:cs="Calibri"/>
                <w:color w:val="000000" w:themeColor="text1"/>
                <w:sz w:val="20"/>
                <w:szCs w:val="20"/>
              </w:rPr>
              <w:t xml:space="preserve"> la RG </w:t>
            </w:r>
          </w:p>
        </w:tc>
        <w:tc>
          <w:tcPr>
            <w:tcW w:w="2127" w:type="dxa"/>
            <w:tcBorders>
              <w:bottom w:val="single" w:sz="4" w:space="0" w:color="auto"/>
            </w:tcBorders>
            <w:noWrap/>
            <w:vAlign w:val="center"/>
            <w:hideMark/>
          </w:tcPr>
          <w:p w14:paraId="7E11BB05" w14:textId="77777777" w:rsidR="00C577CC" w:rsidRPr="009C2DD1" w:rsidRDefault="00C577CC" w:rsidP="00B07A5F">
            <w:pPr>
              <w:jc w:val="right"/>
              <w:rPr>
                <w:rFonts w:ascii="Arial Narrow" w:hAnsi="Arial Narrow" w:cs="Calibri"/>
                <w:color w:val="000000"/>
                <w:sz w:val="20"/>
                <w:szCs w:val="20"/>
              </w:rPr>
            </w:pPr>
            <w:r>
              <w:rPr>
                <w:rFonts w:ascii="Arial Narrow" w:hAnsi="Arial Narrow" w:cs="Calibri"/>
                <w:color w:val="000000"/>
                <w:sz w:val="20"/>
                <w:szCs w:val="20"/>
              </w:rPr>
              <w:t>481</w:t>
            </w:r>
            <w:r w:rsidRPr="009C2DD1">
              <w:rPr>
                <w:rFonts w:ascii="Arial Narrow" w:hAnsi="Arial Narrow" w:cs="Calibri"/>
                <w:color w:val="000000"/>
                <w:sz w:val="20"/>
                <w:szCs w:val="20"/>
              </w:rPr>
              <w:t xml:space="preserve"> </w:t>
            </w:r>
          </w:p>
        </w:tc>
        <w:tc>
          <w:tcPr>
            <w:tcW w:w="2126" w:type="dxa"/>
            <w:tcBorders>
              <w:bottom w:val="single" w:sz="4" w:space="0" w:color="auto"/>
            </w:tcBorders>
            <w:noWrap/>
            <w:vAlign w:val="center"/>
            <w:hideMark/>
          </w:tcPr>
          <w:p w14:paraId="0940B0AC" w14:textId="77777777" w:rsidR="00C577CC" w:rsidRPr="009C2DD1" w:rsidRDefault="00C577CC" w:rsidP="00B07A5F">
            <w:pPr>
              <w:jc w:val="right"/>
              <w:rPr>
                <w:rFonts w:ascii="Arial Narrow" w:hAnsi="Arial Narrow" w:cs="Calibri"/>
                <w:color w:val="000000"/>
                <w:sz w:val="20"/>
                <w:szCs w:val="20"/>
              </w:rPr>
            </w:pPr>
            <w:r>
              <w:rPr>
                <w:rFonts w:ascii="Arial Narrow" w:hAnsi="Arial Narrow" w:cs="Calibri"/>
                <w:color w:val="000000"/>
                <w:sz w:val="20"/>
                <w:szCs w:val="20"/>
              </w:rPr>
              <w:t>295</w:t>
            </w:r>
            <w:r w:rsidRPr="009C2DD1">
              <w:rPr>
                <w:rFonts w:ascii="Arial Narrow" w:hAnsi="Arial Narrow" w:cs="Calibri"/>
                <w:color w:val="000000"/>
                <w:sz w:val="20"/>
                <w:szCs w:val="20"/>
              </w:rPr>
              <w:t xml:space="preserve"> </w:t>
            </w:r>
          </w:p>
        </w:tc>
        <w:tc>
          <w:tcPr>
            <w:tcW w:w="1984" w:type="dxa"/>
            <w:tcBorders>
              <w:bottom w:val="single" w:sz="4" w:space="0" w:color="auto"/>
            </w:tcBorders>
            <w:noWrap/>
            <w:vAlign w:val="center"/>
            <w:hideMark/>
          </w:tcPr>
          <w:p w14:paraId="11C661B9" w14:textId="4E344C2C" w:rsidR="00C577CC" w:rsidRPr="009C2DD1" w:rsidRDefault="00C577CC" w:rsidP="00B07A5F">
            <w:pPr>
              <w:jc w:val="right"/>
              <w:rPr>
                <w:rFonts w:ascii="Arial Narrow" w:hAnsi="Arial Narrow" w:cs="Calibri"/>
                <w:color w:val="000000"/>
                <w:sz w:val="20"/>
                <w:szCs w:val="20"/>
              </w:rPr>
            </w:pPr>
            <w:r>
              <w:rPr>
                <w:rFonts w:ascii="Arial Narrow" w:hAnsi="Arial Narrow" w:cs="Calibri"/>
                <w:color w:val="000000"/>
                <w:sz w:val="20"/>
                <w:szCs w:val="20"/>
              </w:rPr>
              <w:t>1.452</w:t>
            </w:r>
            <w:r w:rsidRPr="009C2DD1">
              <w:rPr>
                <w:rFonts w:ascii="Arial Narrow" w:hAnsi="Arial Narrow" w:cs="Calibri"/>
                <w:color w:val="000000"/>
                <w:sz w:val="20"/>
                <w:szCs w:val="20"/>
              </w:rPr>
              <w:t xml:space="preserve"> </w:t>
            </w:r>
          </w:p>
        </w:tc>
      </w:tr>
    </w:tbl>
    <w:p w14:paraId="16FD1594" w14:textId="3F368903" w:rsidR="00C577CC" w:rsidRDefault="00805BB0" w:rsidP="005D5278">
      <w:pPr>
        <w:pStyle w:val="texto"/>
        <w:numPr>
          <w:ilvl w:val="0"/>
          <w:numId w:val="4"/>
        </w:numPr>
        <w:tabs>
          <w:tab w:val="clear" w:pos="2835"/>
          <w:tab w:val="clear" w:pos="3969"/>
          <w:tab w:val="clear" w:pos="5103"/>
          <w:tab w:val="clear" w:pos="6237"/>
          <w:tab w:val="clear" w:pos="7371"/>
          <w:tab w:val="num" w:pos="300"/>
          <w:tab w:val="left" w:pos="480"/>
          <w:tab w:val="num" w:pos="600"/>
        </w:tabs>
        <w:spacing w:before="240" w:after="140"/>
        <w:ind w:left="0" w:firstLine="289"/>
        <w:jc w:val="both"/>
      </w:pPr>
      <w:r>
        <w:t>Porcentaje de personas que dejan de percibir la RG por acceder a un trabajo y no la retoman</w:t>
      </w:r>
      <w:r w:rsidR="67D31329">
        <w:t xml:space="preserve"> </w:t>
      </w:r>
      <w:r>
        <w:t>entre el total de personas beneficiarias</w:t>
      </w:r>
      <w:r w:rsidR="00C577CC">
        <w:t>:</w:t>
      </w:r>
    </w:p>
    <w:p w14:paraId="67AA1321" w14:textId="339DCB0A" w:rsidR="007A726C" w:rsidRPr="00CE601F" w:rsidRDefault="00805BB0" w:rsidP="00A215EC">
      <w:pPr>
        <w:pStyle w:val="texto"/>
        <w:spacing w:after="140"/>
        <w:jc w:val="both"/>
      </w:pPr>
      <w:r>
        <w:t xml:space="preserve">De las 14.705 </w:t>
      </w:r>
      <w:r w:rsidRPr="3896A6D9">
        <w:t>personas</w:t>
      </w:r>
      <w:r>
        <w:t xml:space="preserve"> contratadas en el periodo</w:t>
      </w:r>
      <w:r w:rsidR="004E2EE4">
        <w:t xml:space="preserve">, 3.673 dejaron de cobrar esta prestación y no lo vuelven a hacer </w:t>
      </w:r>
      <w:r w:rsidR="7B3AE859">
        <w:t>según información disponible a 1 de enero de 2024</w:t>
      </w:r>
      <w:r w:rsidR="004E2EE4">
        <w:t xml:space="preserve">. </w:t>
      </w:r>
    </w:p>
    <w:p w14:paraId="0B622712" w14:textId="16A77398" w:rsidR="004E2EE4" w:rsidRPr="007A726C" w:rsidRDefault="007A726C" w:rsidP="00A215EC">
      <w:pPr>
        <w:pStyle w:val="texto"/>
        <w:spacing w:after="140"/>
        <w:jc w:val="both"/>
        <w:rPr>
          <w:highlight w:val="yellow"/>
        </w:rPr>
      </w:pPr>
      <w:r>
        <w:t xml:space="preserve">Las unidades </w:t>
      </w:r>
      <w:r w:rsidRPr="00A215EC">
        <w:rPr>
          <w:lang w:val="es-ES_tradnl"/>
        </w:rPr>
        <w:t>familiares</w:t>
      </w:r>
      <w:r>
        <w:t xml:space="preserve"> de estas 3.673 personas</w:t>
      </w:r>
      <w:r w:rsidR="00CE601F">
        <w:t xml:space="preserve"> estaban formadas por 8.296 personas</w:t>
      </w:r>
      <w:r w:rsidR="00E371C2">
        <w:t xml:space="preserve">, cifra que </w:t>
      </w:r>
      <w:r w:rsidR="00CE601F">
        <w:t xml:space="preserve">supone el 13 por ciento del total de beneficiarios de RG </w:t>
      </w:r>
      <w:r w:rsidR="00E371C2">
        <w:t>en el</w:t>
      </w:r>
      <w:r w:rsidR="00CE601F">
        <w:t xml:space="preserve"> periodo analizado. </w:t>
      </w:r>
    </w:p>
    <w:p w14:paraId="48346934" w14:textId="41EC01A4" w:rsidR="00A25655" w:rsidRDefault="3B702EDA" w:rsidP="00A215EC">
      <w:pPr>
        <w:pStyle w:val="texto"/>
        <w:spacing w:after="140"/>
        <w:jc w:val="both"/>
      </w:pPr>
      <w:r>
        <w:t xml:space="preserve">En </w:t>
      </w:r>
      <w:r w:rsidR="69C7D4CC" w:rsidRPr="3896A6D9">
        <w:rPr>
          <w:b/>
          <w:bCs/>
        </w:rPr>
        <w:t>conclusión</w:t>
      </w:r>
      <w:r>
        <w:t>, la RG se ha regulado en la normativa junto a la inclusión social</w:t>
      </w:r>
      <w:r w:rsidR="00EA1C05">
        <w:t>,</w:t>
      </w:r>
      <w:r>
        <w:t xml:space="preserve"> vinculando ambos derechos con el fin de que las personas perceptoras puedan mejorar su acceso al mercado laboral y </w:t>
      </w:r>
      <w:r w:rsidR="5D71161D">
        <w:t xml:space="preserve">a </w:t>
      </w:r>
      <w:r>
        <w:t>formación</w:t>
      </w:r>
      <w:r w:rsidR="00EA1C05">
        <w:t>. Sin embargo,</w:t>
      </w:r>
      <w:r w:rsidR="00FC0931">
        <w:t xml:space="preserve"> la realidad es que, </w:t>
      </w:r>
      <w:r w:rsidR="00BD70D9">
        <w:t>en 2023, el 56 por ciento de las personas perceptoras no estaban disponibles para el empleo (su gasto supone el 53 por ciento de los 103,05 millones)</w:t>
      </w:r>
      <w:r w:rsidR="00EA1C05">
        <w:t>;</w:t>
      </w:r>
      <w:r w:rsidR="00BD70D9">
        <w:t xml:space="preserve"> y de las que sí lo estaban, solo obtuvo un trabajo el 26 por ciento. Por otro lado,</w:t>
      </w:r>
      <w:r w:rsidR="00FC0FC8">
        <w:t xml:space="preserve"> en el periodo analizado, al menos hasta el 1 de enero de 2024, </w:t>
      </w:r>
      <w:r w:rsidR="00CE601F">
        <w:t>el 13 por ciento de</w:t>
      </w:r>
      <w:r w:rsidR="00390D54">
        <w:t>l total de</w:t>
      </w:r>
      <w:r w:rsidR="00CE601F">
        <w:t xml:space="preserve"> personas beneficiarias </w:t>
      </w:r>
      <w:r w:rsidR="00FC0FC8">
        <w:t>de esta prestación dejó</w:t>
      </w:r>
      <w:r w:rsidR="00390D54">
        <w:t xml:space="preserve"> de percibirla</w:t>
      </w:r>
      <w:r w:rsidR="00CE601F">
        <w:t xml:space="preserve"> por haber accedido a un trabajo</w:t>
      </w:r>
      <w:r w:rsidR="00790ED0">
        <w:t xml:space="preserve">. </w:t>
      </w:r>
    </w:p>
    <w:p w14:paraId="325D1C53" w14:textId="20C289D1" w:rsidR="00BD70D9" w:rsidRDefault="00BD70D9" w:rsidP="00BD70D9">
      <w:pPr>
        <w:pStyle w:val="texto"/>
        <w:spacing w:after="140"/>
        <w:jc w:val="both"/>
      </w:pPr>
      <w:r>
        <w:t>Esta Cámara considera que las acciones que se deberían llevar a cabo difieren significativamente en función de si las personas están disponibles o no para el empleo</w:t>
      </w:r>
      <w:r w:rsidR="00942134">
        <w:t>,</w:t>
      </w:r>
      <w:r>
        <w:t xml:space="preserve"> cobrando más protagonismo el SNE o los SSB respectivamente</w:t>
      </w:r>
      <w:r w:rsidR="00942134">
        <w:t xml:space="preserve">. En todo </w:t>
      </w:r>
      <w:r w:rsidR="00942134">
        <w:lastRenderedPageBreak/>
        <w:t>caso, las actuaciones deben centrarse en conseguir que</w:t>
      </w:r>
      <w:r>
        <w:t xml:space="preserve"> las personas adquieran autonomía y vean reducida su vulnerabilidad económica. </w:t>
      </w:r>
    </w:p>
    <w:p w14:paraId="6D160BC5" w14:textId="6D4E1B26" w:rsidR="00824B5F" w:rsidRDefault="00824B5F" w:rsidP="00131BF5">
      <w:pPr>
        <w:pStyle w:val="atitulo2"/>
        <w:spacing w:before="240"/>
      </w:pPr>
      <w:bookmarkStart w:id="9" w:name="_Toc187821040"/>
      <w:r>
        <w:t xml:space="preserve">III.3 Análisis de la gestión de la RG </w:t>
      </w:r>
      <w:r w:rsidR="002929EB">
        <w:t>e</w:t>
      </w:r>
      <w:r>
        <w:t xml:space="preserve"> IMV</w:t>
      </w:r>
      <w:bookmarkEnd w:id="9"/>
    </w:p>
    <w:p w14:paraId="21D82E40" w14:textId="426AC1D3" w:rsidR="006F5D47" w:rsidRDefault="00CE601F" w:rsidP="3896A6D9">
      <w:pPr>
        <w:pStyle w:val="texto"/>
        <w:spacing w:after="140"/>
        <w:jc w:val="both"/>
        <w:rPr>
          <w:rFonts w:eastAsiaTheme="minorEastAsia"/>
        </w:rPr>
      </w:pPr>
      <w:r w:rsidRPr="3896A6D9">
        <w:rPr>
          <w:rFonts w:eastAsiaTheme="minorEastAsia"/>
        </w:rPr>
        <w:t xml:space="preserve">Cuando </w:t>
      </w:r>
      <w:r w:rsidR="695A022F" w:rsidRPr="3896A6D9">
        <w:rPr>
          <w:rFonts w:eastAsiaTheme="minorEastAsia"/>
        </w:rPr>
        <w:t>Navarra asumió la competencia de gestión del IMV</w:t>
      </w:r>
      <w:r w:rsidR="00FC0931">
        <w:rPr>
          <w:rFonts w:eastAsiaTheme="minorEastAsia"/>
        </w:rPr>
        <w:t>,</w:t>
      </w:r>
      <w:r w:rsidR="695A022F" w:rsidRPr="3896A6D9">
        <w:rPr>
          <w:rFonts w:eastAsiaTheme="minorEastAsia"/>
        </w:rPr>
        <w:t xml:space="preserve"> el departamento creó una sección y contrató a siete personas.</w:t>
      </w:r>
    </w:p>
    <w:p w14:paraId="64C8E0ED" w14:textId="4218BEF8" w:rsidR="00CE601F" w:rsidRDefault="75B0D111" w:rsidP="00A215EC">
      <w:pPr>
        <w:pStyle w:val="texto"/>
        <w:spacing w:after="140"/>
        <w:jc w:val="both"/>
      </w:pPr>
      <w:r>
        <w:t>La cuantía mensual del IMV viene determinada por la diferencia entre</w:t>
      </w:r>
      <w:r w:rsidR="1A0B37F1">
        <w:t xml:space="preserve"> el</w:t>
      </w:r>
      <w:r>
        <w:t xml:space="preserve"> importe anual de las pensiones no contributivas</w:t>
      </w:r>
      <w:r w:rsidR="00942134">
        <w:t>,</w:t>
      </w:r>
      <w:r>
        <w:t xml:space="preserve"> fijad</w:t>
      </w:r>
      <w:r w:rsidR="00942134">
        <w:t>o</w:t>
      </w:r>
      <w:r>
        <w:t xml:space="preserve"> anualmente en la ley de presupuestos </w:t>
      </w:r>
      <w:r w:rsidRPr="3896A6D9">
        <w:t>generales</w:t>
      </w:r>
      <w:r>
        <w:t xml:space="preserve"> del Estado</w:t>
      </w:r>
      <w:r w:rsidR="00942134">
        <w:t>,</w:t>
      </w:r>
      <w:r>
        <w:t xml:space="preserve"> y el conjunto de todas las rentas e ingresos de la unidad de convivencia del ejercicio anterior. Este importe se incrementa en función de los miembros de la unidad de convivencia y se le añaden complementos en caso de monoparentalidad, discapacidad y de la existencia de menores (complemento de ayuda para la infancia</w:t>
      </w:r>
      <w:r w:rsidR="00C23169">
        <w:t xml:space="preserve"> o API</w:t>
      </w:r>
      <w:r>
        <w:t>).</w:t>
      </w:r>
    </w:p>
    <w:p w14:paraId="14E664B3" w14:textId="76DCA9E2" w:rsidR="00545BA8" w:rsidRDefault="6CB226C3" w:rsidP="00A215EC">
      <w:pPr>
        <w:pStyle w:val="texto"/>
        <w:spacing w:after="140"/>
        <w:jc w:val="both"/>
      </w:pPr>
      <w:r>
        <w:t>La</w:t>
      </w:r>
      <w:r w:rsidR="111CD3FD">
        <w:t xml:space="preserve"> cantidad percibida </w:t>
      </w:r>
      <w:r w:rsidR="00CE601F">
        <w:t>debe revisarse</w:t>
      </w:r>
      <w:r w:rsidR="111CD3FD">
        <w:t xml:space="preserve"> anualmente en función de los ingresos </w:t>
      </w:r>
      <w:r w:rsidR="00CE601F">
        <w:t>de las personas</w:t>
      </w:r>
      <w:r w:rsidR="755C6DA4">
        <w:t xml:space="preserve"> según</w:t>
      </w:r>
      <w:r w:rsidR="111CD3FD">
        <w:t xml:space="preserve"> la declaración del impuesto sobre la renta de las personas físicas.</w:t>
      </w:r>
    </w:p>
    <w:p w14:paraId="732F6892" w14:textId="4A6305A9" w:rsidR="1F93E42D" w:rsidRDefault="1F93E42D" w:rsidP="00A215EC">
      <w:pPr>
        <w:pStyle w:val="texto"/>
        <w:spacing w:after="140"/>
        <w:jc w:val="both"/>
      </w:pPr>
      <w:r>
        <w:t xml:space="preserve">El plazo de resolución del IMV es de seis meses frente a los tres de la RG; además, la falta de </w:t>
      </w:r>
      <w:r w:rsidRPr="3896A6D9">
        <w:t>resolución</w:t>
      </w:r>
      <w:r>
        <w:t xml:space="preserve"> transcurrido</w:t>
      </w:r>
      <w:r w:rsidR="667063CD">
        <w:t>s</w:t>
      </w:r>
      <w:r>
        <w:t xml:space="preserve"> dicho</w:t>
      </w:r>
      <w:r w:rsidR="47748687">
        <w:t>s</w:t>
      </w:r>
      <w:r>
        <w:t xml:space="preserve"> plazo</w:t>
      </w:r>
      <w:r w:rsidR="06382FD7">
        <w:t>s</w:t>
      </w:r>
      <w:r>
        <w:t xml:space="preserve"> es desestimatoria en el caso del IMV</w:t>
      </w:r>
      <w:r w:rsidR="46132931">
        <w:t xml:space="preserve"> y estimatoria en el caso de la RG. </w:t>
      </w:r>
    </w:p>
    <w:p w14:paraId="3D157F18" w14:textId="77777777" w:rsidR="00A25655" w:rsidRDefault="00A25655" w:rsidP="00A215EC">
      <w:pPr>
        <w:pStyle w:val="texto"/>
        <w:spacing w:after="140"/>
        <w:jc w:val="both"/>
        <w:rPr>
          <w:szCs w:val="26"/>
        </w:rPr>
      </w:pPr>
      <w:r>
        <w:rPr>
          <w:szCs w:val="26"/>
        </w:rPr>
        <w:t xml:space="preserve">Las principales conclusiones de esta Cámara sobre la gestión conjunta de la RG e IMV son las </w:t>
      </w:r>
      <w:r w:rsidRPr="00A215EC">
        <w:rPr>
          <w:lang w:val="es-ES_tradnl"/>
        </w:rPr>
        <w:t>siguientes</w:t>
      </w:r>
      <w:r>
        <w:rPr>
          <w:szCs w:val="26"/>
        </w:rPr>
        <w:t>:</w:t>
      </w:r>
    </w:p>
    <w:p w14:paraId="0792E56D" w14:textId="629038C2" w:rsidR="00A25655" w:rsidRDefault="00A6449C" w:rsidP="00F135C6">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t>Hemos a</w:t>
      </w:r>
      <w:r w:rsidR="00545BA8">
        <w:t xml:space="preserve">nalizado si el importe cobrado por RG e IMV </w:t>
      </w:r>
      <w:r>
        <w:t xml:space="preserve">de manera simultánea </w:t>
      </w:r>
      <w:r w:rsidR="00545BA8">
        <w:t>superaba</w:t>
      </w:r>
      <w:r>
        <w:t xml:space="preserve"> o no</w:t>
      </w:r>
      <w:r w:rsidR="00545BA8">
        <w:t xml:space="preserve"> la cuantía máxima establecida en la normativa</w:t>
      </w:r>
      <w:r>
        <w:t xml:space="preserve">, sin </w:t>
      </w:r>
      <w:r w:rsidR="6B864C02">
        <w:t>que hayamos podido</w:t>
      </w:r>
      <w:r>
        <w:t xml:space="preserve"> alcanzar una conclusión al respecto</w:t>
      </w:r>
      <w:r w:rsidR="00942134">
        <w:t>. La razón es que</w:t>
      </w:r>
      <w:r w:rsidR="00545BA8">
        <w:t xml:space="preserve"> </w:t>
      </w:r>
      <w:r w:rsidR="6E6D9DD2">
        <w:t xml:space="preserve">el SIPSS solo dispone del dato más reciente sobre </w:t>
      </w:r>
      <w:r w:rsidR="00545BA8">
        <w:t>el número de miembros de la u</w:t>
      </w:r>
      <w:r w:rsidR="0027110E">
        <w:t xml:space="preserve">nidad familiar o de convivencia, </w:t>
      </w:r>
      <w:r w:rsidR="00CE601F">
        <w:t xml:space="preserve">sin que </w:t>
      </w:r>
      <w:r w:rsidR="002139E5">
        <w:t>conste información histórica</w:t>
      </w:r>
      <w:r w:rsidR="00CE601F">
        <w:t xml:space="preserve"> que nos permita</w:t>
      </w:r>
      <w:r w:rsidR="002139E5">
        <w:t xml:space="preserve"> explotar los datos de manera automatizada para</w:t>
      </w:r>
      <w:r w:rsidR="00CE601F">
        <w:t xml:space="preserve"> verificar este hecho</w:t>
      </w:r>
      <w:r w:rsidR="00545BA8">
        <w:t xml:space="preserve">. </w:t>
      </w:r>
    </w:p>
    <w:p w14:paraId="782BCE78" w14:textId="6B423ED7" w:rsidR="00246125" w:rsidRPr="008A5B1B" w:rsidRDefault="3B702EDA" w:rsidP="00F135C6">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rsidRPr="5D8B6717">
        <w:rPr>
          <w:rFonts w:eastAsiaTheme="minorEastAsia"/>
        </w:rPr>
        <w:t>En octubre de 2022, e</w:t>
      </w:r>
      <w:r w:rsidR="695A022F" w:rsidRPr="5D8B6717">
        <w:rPr>
          <w:rFonts w:eastAsiaTheme="minorEastAsia"/>
        </w:rPr>
        <w:t>l Instituto Nacional de la Seguridad Social traspasó a Navarra 5.841 expedientes activos y 2.423 pendientes de resolver</w:t>
      </w:r>
      <w:r w:rsidR="00CE601F">
        <w:rPr>
          <w:rFonts w:eastAsiaTheme="minorEastAsia"/>
        </w:rPr>
        <w:t>,</w:t>
      </w:r>
      <w:r w:rsidR="695A022F" w:rsidRPr="5D8B6717">
        <w:rPr>
          <w:rFonts w:eastAsiaTheme="minorEastAsia"/>
        </w:rPr>
        <w:t xml:space="preserve"> a los que se </w:t>
      </w:r>
      <w:r w:rsidRPr="5D8B6717">
        <w:rPr>
          <w:rFonts w:eastAsiaTheme="minorEastAsia"/>
        </w:rPr>
        <w:t xml:space="preserve">fueron </w:t>
      </w:r>
      <w:r w:rsidR="695A022F" w:rsidRPr="5D8B6717">
        <w:rPr>
          <w:rFonts w:eastAsiaTheme="minorEastAsia"/>
        </w:rPr>
        <w:t>añadi</w:t>
      </w:r>
      <w:r w:rsidR="79C52315" w:rsidRPr="5D8B6717">
        <w:rPr>
          <w:rFonts w:eastAsiaTheme="minorEastAsia"/>
        </w:rPr>
        <w:t>endo</w:t>
      </w:r>
      <w:r w:rsidR="695A022F" w:rsidRPr="5D8B6717">
        <w:rPr>
          <w:rFonts w:eastAsiaTheme="minorEastAsia"/>
        </w:rPr>
        <w:t xml:space="preserve"> </w:t>
      </w:r>
      <w:r w:rsidR="00942134">
        <w:rPr>
          <w:rFonts w:eastAsiaTheme="minorEastAsia"/>
        </w:rPr>
        <w:t xml:space="preserve">3.692 solicitudes nuevas </w:t>
      </w:r>
      <w:r w:rsidR="695A022F" w:rsidRPr="5D8B6717">
        <w:rPr>
          <w:rFonts w:eastAsiaTheme="minorEastAsia"/>
        </w:rPr>
        <w:t xml:space="preserve">hasta 31 de diciembre de 2023. </w:t>
      </w:r>
      <w:r w:rsidRPr="5D8B6717">
        <w:rPr>
          <w:rFonts w:eastAsiaTheme="minorEastAsia"/>
        </w:rPr>
        <w:t>A pesar del esfuerzo del departamento contratando a personal, e</w:t>
      </w:r>
      <w:r w:rsidR="695A022F" w:rsidRPr="5D8B6717">
        <w:rPr>
          <w:rFonts w:eastAsiaTheme="minorEastAsia"/>
        </w:rPr>
        <w:t xml:space="preserve">ste volumen de actividad ha supuesto que </w:t>
      </w:r>
      <w:r w:rsidRPr="5D8B6717">
        <w:rPr>
          <w:rFonts w:eastAsiaTheme="minorEastAsia"/>
        </w:rPr>
        <w:t>exista</w:t>
      </w:r>
      <w:r w:rsidR="695A022F" w:rsidRPr="5D8B6717">
        <w:rPr>
          <w:rFonts w:eastAsiaTheme="minorEastAsia"/>
        </w:rPr>
        <w:t xml:space="preserve"> retraso en la resolución de </w:t>
      </w:r>
      <w:r w:rsidR="75B0D111" w:rsidRPr="5D8B6717">
        <w:rPr>
          <w:rFonts w:eastAsiaTheme="minorEastAsia"/>
        </w:rPr>
        <w:t>las solicitudes</w:t>
      </w:r>
      <w:r w:rsidRPr="5D8B6717">
        <w:rPr>
          <w:rFonts w:eastAsiaTheme="minorEastAsia"/>
        </w:rPr>
        <w:t xml:space="preserve"> de IMV. </w:t>
      </w:r>
    </w:p>
    <w:p w14:paraId="43D86F29" w14:textId="4704C599" w:rsidR="00246125" w:rsidRDefault="3B702EDA" w:rsidP="00FC0FC8">
      <w:pPr>
        <w:pStyle w:val="texto"/>
        <w:spacing w:after="140"/>
        <w:jc w:val="both"/>
        <w:rPr>
          <w:rFonts w:eastAsiaTheme="minorEastAsia"/>
        </w:rPr>
      </w:pPr>
      <w:r w:rsidRPr="3896A6D9">
        <w:rPr>
          <w:rFonts w:eastAsiaTheme="minorEastAsia"/>
        </w:rPr>
        <w:t>Esta demora en la resolución</w:t>
      </w:r>
      <w:r w:rsidR="2B7A6175" w:rsidRPr="3896A6D9">
        <w:rPr>
          <w:rFonts w:eastAsiaTheme="minorEastAsia"/>
        </w:rPr>
        <w:t xml:space="preserve"> y la modificación que se debe hacer de la cuantía del IMV considerando los ingresos del año anterior</w:t>
      </w:r>
      <w:r w:rsidR="00C23169" w:rsidRPr="3896A6D9">
        <w:rPr>
          <w:rFonts w:eastAsiaTheme="minorEastAsia"/>
        </w:rPr>
        <w:t>,</w:t>
      </w:r>
      <w:r w:rsidR="2B7A6175" w:rsidRPr="3896A6D9">
        <w:rPr>
          <w:rFonts w:eastAsiaTheme="minorEastAsia"/>
        </w:rPr>
        <w:t xml:space="preserve"> </w:t>
      </w:r>
      <w:r w:rsidRPr="3896A6D9">
        <w:rPr>
          <w:rFonts w:eastAsiaTheme="minorEastAsia"/>
        </w:rPr>
        <w:t xml:space="preserve">supone que, en caso de </w:t>
      </w:r>
      <w:r w:rsidR="42B4F56F" w:rsidRPr="3896A6D9">
        <w:rPr>
          <w:rFonts w:eastAsiaTheme="minorEastAsia"/>
        </w:rPr>
        <w:t>que exista</w:t>
      </w:r>
      <w:r w:rsidRPr="3896A6D9">
        <w:rPr>
          <w:rFonts w:eastAsiaTheme="minorEastAsia"/>
        </w:rPr>
        <w:t xml:space="preserve"> derecho a percibir RG e IMV, </w:t>
      </w:r>
      <w:r w:rsidR="42B4F56F" w:rsidRPr="3896A6D9">
        <w:rPr>
          <w:rFonts w:eastAsiaTheme="minorEastAsia"/>
        </w:rPr>
        <w:t>el departamento tenga que</w:t>
      </w:r>
      <w:r w:rsidR="71C9ABEE" w:rsidRPr="3896A6D9">
        <w:rPr>
          <w:rFonts w:eastAsiaTheme="minorEastAsia"/>
        </w:rPr>
        <w:t xml:space="preserve"> efectuar una regularización minorando el importe </w:t>
      </w:r>
      <w:r w:rsidR="75B0D111" w:rsidRPr="3896A6D9">
        <w:rPr>
          <w:rFonts w:eastAsiaTheme="minorEastAsia"/>
        </w:rPr>
        <w:t xml:space="preserve">cobrado de RG </w:t>
      </w:r>
      <w:r w:rsidR="390566C0" w:rsidRPr="3896A6D9">
        <w:rPr>
          <w:rFonts w:eastAsiaTheme="minorEastAsia"/>
        </w:rPr>
        <w:t>y aumentando el correspondiente al IMV</w:t>
      </w:r>
      <w:r w:rsidR="75B0D111" w:rsidRPr="3896A6D9">
        <w:rPr>
          <w:rFonts w:eastAsiaTheme="minorEastAsia"/>
        </w:rPr>
        <w:t xml:space="preserve">. </w:t>
      </w:r>
      <w:r w:rsidR="004E2EE4" w:rsidRPr="00FC0FC8">
        <w:rPr>
          <w:rFonts w:eastAsiaTheme="minorEastAsia"/>
        </w:rPr>
        <w:t xml:space="preserve">El departamento ha llevado a cabo esta regularización </w:t>
      </w:r>
      <w:r w:rsidR="00CE601F" w:rsidRPr="00FC0FC8">
        <w:rPr>
          <w:rFonts w:eastAsiaTheme="minorEastAsia"/>
        </w:rPr>
        <w:t>realizando</w:t>
      </w:r>
      <w:r w:rsidR="004E2EE4" w:rsidRPr="00FC0FC8">
        <w:rPr>
          <w:rFonts w:eastAsiaTheme="minorEastAsia"/>
        </w:rPr>
        <w:t xml:space="preserve"> un</w:t>
      </w:r>
      <w:r w:rsidR="723FB59D" w:rsidRPr="00FC0FC8">
        <w:rPr>
          <w:rFonts w:eastAsiaTheme="minorEastAsia"/>
        </w:rPr>
        <w:t>a transferencia</w:t>
      </w:r>
      <w:r w:rsidR="651CB0C9" w:rsidRPr="00FC0FC8">
        <w:rPr>
          <w:rFonts w:eastAsiaTheme="minorEastAsia"/>
        </w:rPr>
        <w:t xml:space="preserve"> entre partidas presupuestarias</w:t>
      </w:r>
      <w:r w:rsidR="004E1493">
        <w:rPr>
          <w:rFonts w:eastAsiaTheme="minorEastAsia"/>
        </w:rPr>
        <w:t>,</w:t>
      </w:r>
      <w:r w:rsidR="651CB0C9" w:rsidRPr="00FC0FC8">
        <w:rPr>
          <w:rFonts w:eastAsiaTheme="minorEastAsia"/>
        </w:rPr>
        <w:t xml:space="preserve"> considerando un mes menos de concurrencia entre prestaciones</w:t>
      </w:r>
      <w:r w:rsidR="004E1493">
        <w:rPr>
          <w:rFonts w:eastAsiaTheme="minorEastAsia"/>
        </w:rPr>
        <w:t xml:space="preserve"> según lo</w:t>
      </w:r>
      <w:r w:rsidR="00FC0FC8">
        <w:rPr>
          <w:rFonts w:eastAsiaTheme="minorEastAsia"/>
        </w:rPr>
        <w:t xml:space="preserve"> establecido en la normativa.  </w:t>
      </w:r>
      <w:r w:rsidR="651CB0C9" w:rsidRPr="3896A6D9">
        <w:rPr>
          <w:rFonts w:eastAsiaTheme="minorEastAsia"/>
        </w:rPr>
        <w:t xml:space="preserve"> </w:t>
      </w:r>
    </w:p>
    <w:p w14:paraId="3C67FD53" w14:textId="0869B77E" w:rsidR="00B815C1" w:rsidRPr="00B1511D" w:rsidRDefault="1CF61FF3" w:rsidP="00F135C6">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rsidRPr="3896A6D9">
        <w:rPr>
          <w:rFonts w:eastAsiaTheme="minorEastAsia"/>
        </w:rPr>
        <w:lastRenderedPageBreak/>
        <w:t>Hasta diciembre de 2022, la Ley Foral 15/2016 establecía que</w:t>
      </w:r>
      <w:r w:rsidR="6EA66C2C" w:rsidRPr="3896A6D9">
        <w:rPr>
          <w:rFonts w:eastAsiaTheme="minorEastAsia"/>
        </w:rPr>
        <w:t xml:space="preserve"> no se considerarían ingresos </w:t>
      </w:r>
      <w:r w:rsidR="6EA66C2C">
        <w:t>computables</w:t>
      </w:r>
      <w:r w:rsidR="6EA66C2C" w:rsidRPr="3896A6D9">
        <w:rPr>
          <w:rFonts w:eastAsiaTheme="minorEastAsia"/>
        </w:rPr>
        <w:t xml:space="preserve"> para determinar la cuantía de la RG aquellas prestaciones de la Seguridad Social de menores de 18 años a cargo de los solicitantes</w:t>
      </w:r>
      <w:r w:rsidR="434CBB1D" w:rsidRPr="3896A6D9">
        <w:rPr>
          <w:rFonts w:eastAsiaTheme="minorEastAsia"/>
        </w:rPr>
        <w:t>,</w:t>
      </w:r>
      <w:r w:rsidR="6EA66C2C" w:rsidRPr="3896A6D9">
        <w:rPr>
          <w:rFonts w:eastAsiaTheme="minorEastAsia"/>
        </w:rPr>
        <w:t xml:space="preserve"> entre las que se encontraba</w:t>
      </w:r>
      <w:r w:rsidRPr="3896A6D9">
        <w:rPr>
          <w:rFonts w:eastAsiaTheme="minorEastAsia"/>
        </w:rPr>
        <w:t xml:space="preserve"> el complemento API</w:t>
      </w:r>
      <w:r w:rsidR="00B815C1" w:rsidRPr="3896A6D9">
        <w:rPr>
          <w:rFonts w:eastAsiaTheme="minorEastAsia"/>
        </w:rPr>
        <w:t>.</w:t>
      </w:r>
    </w:p>
    <w:p w14:paraId="6C970D57" w14:textId="3BA1534C" w:rsidR="00646C33" w:rsidRPr="008A5B1B" w:rsidRDefault="1CF61FF3" w:rsidP="00A215EC">
      <w:pPr>
        <w:pStyle w:val="texto"/>
        <w:spacing w:after="140"/>
        <w:jc w:val="both"/>
      </w:pPr>
      <w:r w:rsidRPr="3896A6D9">
        <w:rPr>
          <w:rFonts w:eastAsiaTheme="minorEastAsia"/>
        </w:rPr>
        <w:t>El 15 de diciembre de 2022 se publicó en el Boletín Oficial de Navarra la Ley Foral 31/2022</w:t>
      </w:r>
      <w:r w:rsidR="6D725EED" w:rsidRPr="3896A6D9">
        <w:rPr>
          <w:rFonts w:eastAsiaTheme="minorEastAsia"/>
        </w:rPr>
        <w:t>,</w:t>
      </w:r>
      <w:r w:rsidRPr="3896A6D9">
        <w:rPr>
          <w:rFonts w:eastAsiaTheme="minorEastAsia"/>
        </w:rPr>
        <w:t xml:space="preserve"> de 28 de noviembre</w:t>
      </w:r>
      <w:r w:rsidR="3689DF94" w:rsidRPr="3896A6D9">
        <w:rPr>
          <w:rFonts w:eastAsiaTheme="minorEastAsia"/>
        </w:rPr>
        <w:t>,</w:t>
      </w:r>
      <w:r w:rsidRPr="3896A6D9">
        <w:rPr>
          <w:rFonts w:eastAsiaTheme="minorEastAsia"/>
        </w:rPr>
        <w:t xml:space="preserve"> de discapacidad</w:t>
      </w:r>
      <w:r w:rsidR="48B88E5A" w:rsidRPr="3896A6D9">
        <w:rPr>
          <w:rFonts w:eastAsiaTheme="minorEastAsia"/>
        </w:rPr>
        <w:t>,</w:t>
      </w:r>
      <w:r w:rsidRPr="3896A6D9">
        <w:rPr>
          <w:rFonts w:eastAsiaTheme="minorEastAsia"/>
        </w:rPr>
        <w:t xml:space="preserve"> que modificaba </w:t>
      </w:r>
      <w:r w:rsidR="000951AF" w:rsidRPr="3896A6D9">
        <w:rPr>
          <w:rFonts w:eastAsiaTheme="minorEastAsia"/>
        </w:rPr>
        <w:t>la norma anterior</w:t>
      </w:r>
      <w:r w:rsidR="762C5BE4" w:rsidRPr="3896A6D9">
        <w:rPr>
          <w:rFonts w:eastAsiaTheme="minorEastAsia"/>
        </w:rPr>
        <w:t>,</w:t>
      </w:r>
      <w:r w:rsidRPr="3896A6D9">
        <w:rPr>
          <w:rFonts w:eastAsiaTheme="minorEastAsia"/>
        </w:rPr>
        <w:t xml:space="preserve"> determinando que </w:t>
      </w:r>
      <w:r w:rsidR="006D5EB3" w:rsidRPr="3896A6D9">
        <w:rPr>
          <w:rFonts w:eastAsiaTheme="minorEastAsia"/>
        </w:rPr>
        <w:t xml:space="preserve">esas </w:t>
      </w:r>
      <w:r w:rsidR="6C4E7FC7" w:rsidRPr="3896A6D9">
        <w:rPr>
          <w:rFonts w:eastAsiaTheme="minorEastAsia"/>
        </w:rPr>
        <w:t>prestaciones</w:t>
      </w:r>
      <w:r w:rsidR="006D5EB3" w:rsidRPr="3896A6D9">
        <w:rPr>
          <w:rFonts w:eastAsiaTheme="minorEastAsia"/>
        </w:rPr>
        <w:t xml:space="preserve"> de la Seguridad Social</w:t>
      </w:r>
      <w:r w:rsidR="6C4E7FC7" w:rsidRPr="3896A6D9">
        <w:rPr>
          <w:rFonts w:eastAsiaTheme="minorEastAsia"/>
        </w:rPr>
        <w:t xml:space="preserve">, y por lo tanto </w:t>
      </w:r>
      <w:r w:rsidR="006D5EB3" w:rsidRPr="3896A6D9">
        <w:rPr>
          <w:rFonts w:eastAsiaTheme="minorEastAsia"/>
        </w:rPr>
        <w:t xml:space="preserve">la </w:t>
      </w:r>
      <w:r w:rsidRPr="3896A6D9">
        <w:rPr>
          <w:rFonts w:eastAsiaTheme="minorEastAsia"/>
        </w:rPr>
        <w:t>API</w:t>
      </w:r>
      <w:r w:rsidR="4C3919BC" w:rsidRPr="3896A6D9">
        <w:rPr>
          <w:rFonts w:eastAsiaTheme="minorEastAsia"/>
        </w:rPr>
        <w:t>,</w:t>
      </w:r>
      <w:r w:rsidRPr="3896A6D9">
        <w:rPr>
          <w:rFonts w:eastAsiaTheme="minorEastAsia"/>
        </w:rPr>
        <w:t xml:space="preserve"> computaría</w:t>
      </w:r>
      <w:r w:rsidR="0B937287" w:rsidRPr="3896A6D9">
        <w:rPr>
          <w:rFonts w:eastAsiaTheme="minorEastAsia"/>
        </w:rPr>
        <w:t>n</w:t>
      </w:r>
      <w:r w:rsidRPr="3896A6D9">
        <w:rPr>
          <w:rFonts w:eastAsiaTheme="minorEastAsia"/>
        </w:rPr>
        <w:t xml:space="preserve"> como ingreso</w:t>
      </w:r>
      <w:r w:rsidR="5DFF28E0" w:rsidRPr="3896A6D9">
        <w:rPr>
          <w:rFonts w:eastAsiaTheme="minorEastAsia"/>
        </w:rPr>
        <w:t>s</w:t>
      </w:r>
      <w:r w:rsidRPr="3896A6D9">
        <w:rPr>
          <w:rFonts w:eastAsiaTheme="minorEastAsia"/>
        </w:rPr>
        <w:t xml:space="preserve"> salvo que el grado de discapacidad de</w:t>
      </w:r>
      <w:r w:rsidR="762C5BE4" w:rsidRPr="3896A6D9">
        <w:rPr>
          <w:rFonts w:eastAsiaTheme="minorEastAsia"/>
        </w:rPr>
        <w:t xml:space="preserve"> la persona</w:t>
      </w:r>
      <w:r w:rsidRPr="3896A6D9">
        <w:rPr>
          <w:rFonts w:eastAsiaTheme="minorEastAsia"/>
        </w:rPr>
        <w:t xml:space="preserve"> menor </w:t>
      </w:r>
      <w:r w:rsidR="762C5BE4" w:rsidRPr="3896A6D9">
        <w:rPr>
          <w:rFonts w:eastAsiaTheme="minorEastAsia"/>
        </w:rPr>
        <w:t xml:space="preserve">de edad </w:t>
      </w:r>
      <w:r w:rsidRPr="3896A6D9">
        <w:rPr>
          <w:rFonts w:eastAsiaTheme="minorEastAsia"/>
        </w:rPr>
        <w:t xml:space="preserve">fuera igual o mayor al 65 por ciento. </w:t>
      </w:r>
    </w:p>
    <w:p w14:paraId="0641FC7F" w14:textId="71B3F9C5" w:rsidR="00646C33" w:rsidRDefault="1CF61FF3" w:rsidP="3896A6D9">
      <w:pPr>
        <w:pStyle w:val="texto"/>
        <w:spacing w:after="140"/>
        <w:jc w:val="both"/>
        <w:rPr>
          <w:rFonts w:eastAsiaTheme="minorEastAsia"/>
        </w:rPr>
      </w:pPr>
      <w:r w:rsidRPr="3896A6D9">
        <w:rPr>
          <w:rFonts w:eastAsiaTheme="minorEastAsia"/>
        </w:rPr>
        <w:t xml:space="preserve">El departamento no aplicó este cambio de la normativa </w:t>
      </w:r>
      <w:r w:rsidR="762C5BE4" w:rsidRPr="3896A6D9">
        <w:rPr>
          <w:rFonts w:eastAsiaTheme="minorEastAsia"/>
        </w:rPr>
        <w:t xml:space="preserve">para conceder la RG </w:t>
      </w:r>
      <w:r w:rsidRPr="3896A6D9">
        <w:rPr>
          <w:rFonts w:eastAsiaTheme="minorEastAsia"/>
        </w:rPr>
        <w:t xml:space="preserve">hasta enero de 2024. Hemos </w:t>
      </w:r>
      <w:r w:rsidRPr="3896A6D9">
        <w:t>estimado</w:t>
      </w:r>
      <w:r w:rsidRPr="3896A6D9">
        <w:rPr>
          <w:rFonts w:eastAsiaTheme="minorEastAsia"/>
        </w:rPr>
        <w:t xml:space="preserve"> que el impacto de</w:t>
      </w:r>
      <w:r w:rsidR="75008EE9" w:rsidRPr="3896A6D9">
        <w:rPr>
          <w:rFonts w:eastAsiaTheme="minorEastAsia"/>
        </w:rPr>
        <w:t xml:space="preserve"> esta falta de aplicación de la normativa</w:t>
      </w:r>
      <w:r w:rsidR="000951AF" w:rsidRPr="3896A6D9">
        <w:rPr>
          <w:rFonts w:eastAsiaTheme="minorEastAsia"/>
        </w:rPr>
        <w:t xml:space="preserve"> en </w:t>
      </w:r>
      <w:r w:rsidR="0088075A" w:rsidRPr="3896A6D9">
        <w:rPr>
          <w:rFonts w:eastAsiaTheme="minorEastAsia"/>
        </w:rPr>
        <w:t xml:space="preserve">las concesiones de RG de </w:t>
      </w:r>
      <w:r w:rsidR="000951AF" w:rsidRPr="3896A6D9">
        <w:rPr>
          <w:rFonts w:eastAsiaTheme="minorEastAsia"/>
        </w:rPr>
        <w:t>2023</w:t>
      </w:r>
      <w:r w:rsidRPr="3896A6D9">
        <w:rPr>
          <w:rFonts w:eastAsiaTheme="minorEastAsia"/>
        </w:rPr>
        <w:t xml:space="preserve"> sup</w:t>
      </w:r>
      <w:r w:rsidR="762C5BE4" w:rsidRPr="3896A6D9">
        <w:rPr>
          <w:rFonts w:eastAsiaTheme="minorEastAsia"/>
        </w:rPr>
        <w:t>uso</w:t>
      </w:r>
      <w:r w:rsidRPr="3896A6D9">
        <w:rPr>
          <w:rFonts w:eastAsiaTheme="minorEastAsia"/>
        </w:rPr>
        <w:t xml:space="preserve"> un</w:t>
      </w:r>
      <w:r w:rsidR="649208C5" w:rsidRPr="3896A6D9">
        <w:rPr>
          <w:rFonts w:eastAsiaTheme="minorEastAsia"/>
        </w:rPr>
        <w:t xml:space="preserve"> abono</w:t>
      </w:r>
      <w:r w:rsidRPr="3896A6D9">
        <w:rPr>
          <w:rFonts w:eastAsiaTheme="minorEastAsia"/>
        </w:rPr>
        <w:t xml:space="preserve"> indebido de 2,09 millones que afectaría a 2.730 expedientes. </w:t>
      </w:r>
      <w:r w:rsidRPr="00DF1D6D">
        <w:rPr>
          <w:rFonts w:eastAsiaTheme="minorEastAsia"/>
        </w:rPr>
        <w:t xml:space="preserve">Al respecto, el departamento </w:t>
      </w:r>
      <w:r w:rsidR="0027110E" w:rsidRPr="00DF1D6D">
        <w:rPr>
          <w:rFonts w:eastAsiaTheme="minorEastAsia"/>
        </w:rPr>
        <w:t>ha iniciado las correspondientes actuaciones para revisar</w:t>
      </w:r>
      <w:r w:rsidR="00DF1D6D">
        <w:rPr>
          <w:rFonts w:eastAsiaTheme="minorEastAsia"/>
        </w:rPr>
        <w:t xml:space="preserve"> los expedientes afectados y proceder a la regularización en su caso de las cuantías correspondientes. </w:t>
      </w:r>
    </w:p>
    <w:p w14:paraId="4FFBD1E7" w14:textId="0C233E66" w:rsidR="00F8056B" w:rsidRDefault="2B7A6175" w:rsidP="3896A6D9">
      <w:pPr>
        <w:pStyle w:val="texto"/>
        <w:spacing w:after="140"/>
        <w:jc w:val="both"/>
        <w:rPr>
          <w:rFonts w:eastAsiaTheme="minorEastAsia"/>
        </w:rPr>
      </w:pPr>
      <w:r w:rsidRPr="3896A6D9">
        <w:rPr>
          <w:rFonts w:eastAsiaTheme="minorEastAsia"/>
        </w:rPr>
        <w:t xml:space="preserve">En </w:t>
      </w:r>
      <w:r w:rsidRPr="3896A6D9">
        <w:rPr>
          <w:rFonts w:eastAsiaTheme="minorEastAsia"/>
          <w:b/>
          <w:bCs/>
        </w:rPr>
        <w:t>definitiva</w:t>
      </w:r>
      <w:r w:rsidRPr="3896A6D9">
        <w:rPr>
          <w:rFonts w:eastAsiaTheme="minorEastAsia"/>
        </w:rPr>
        <w:t xml:space="preserve">, </w:t>
      </w:r>
      <w:r w:rsidR="0027110E">
        <w:rPr>
          <w:rFonts w:eastAsiaTheme="minorEastAsia"/>
        </w:rPr>
        <w:t xml:space="preserve">el contexto en el que el departamento </w:t>
      </w:r>
      <w:r w:rsidR="00584613">
        <w:rPr>
          <w:rFonts w:eastAsiaTheme="minorEastAsia"/>
        </w:rPr>
        <w:t>gestiona</w:t>
      </w:r>
      <w:r w:rsidR="0027110E">
        <w:rPr>
          <w:rFonts w:eastAsiaTheme="minorEastAsia"/>
        </w:rPr>
        <w:t xml:space="preserve"> los cambios normativos y procedimentales ocurridos dificulta significativamente la gestión de estas dos prestaciones. Esta gestión se ve condicionada por otros factores como la falta de conocimiento de manera automática de l</w:t>
      </w:r>
      <w:r w:rsidR="31B0E4C6" w:rsidRPr="3896A6D9">
        <w:rPr>
          <w:rFonts w:eastAsiaTheme="minorEastAsia"/>
        </w:rPr>
        <w:t xml:space="preserve">os importes de una y otra prestación </w:t>
      </w:r>
      <w:r w:rsidR="0027110E">
        <w:rPr>
          <w:rFonts w:eastAsiaTheme="minorEastAsia"/>
        </w:rPr>
        <w:t>en SIPSS o</w:t>
      </w:r>
      <w:r w:rsidR="00B815C1" w:rsidRPr="3896A6D9">
        <w:rPr>
          <w:rFonts w:eastAsiaTheme="minorEastAsia"/>
        </w:rPr>
        <w:t xml:space="preserve"> los plazos máximos de concesión </w:t>
      </w:r>
      <w:r w:rsidR="0027110E">
        <w:rPr>
          <w:rFonts w:eastAsiaTheme="minorEastAsia"/>
        </w:rPr>
        <w:t xml:space="preserve">distintos </w:t>
      </w:r>
      <w:r w:rsidR="00B815C1" w:rsidRPr="3896A6D9">
        <w:rPr>
          <w:rFonts w:eastAsiaTheme="minorEastAsia"/>
        </w:rPr>
        <w:t>de ambas prestaciones</w:t>
      </w:r>
      <w:r w:rsidR="0027110E">
        <w:rPr>
          <w:rFonts w:eastAsiaTheme="minorEastAsia"/>
        </w:rPr>
        <w:t xml:space="preserve">. Además, este contexto procedimental y normativo exige que el departamento </w:t>
      </w:r>
      <w:r w:rsidR="004E1493">
        <w:rPr>
          <w:rFonts w:eastAsiaTheme="minorEastAsia"/>
        </w:rPr>
        <w:t>realice</w:t>
      </w:r>
      <w:r w:rsidR="0027110E">
        <w:rPr>
          <w:rFonts w:eastAsiaTheme="minorEastAsia"/>
        </w:rPr>
        <w:t xml:space="preserve"> regularizaciones de las cuantías de prestaciones ya concedidas</w:t>
      </w:r>
      <w:r w:rsidR="004E1493">
        <w:rPr>
          <w:rFonts w:eastAsiaTheme="minorEastAsia"/>
        </w:rPr>
        <w:t>,</w:t>
      </w:r>
      <w:r w:rsidR="0027110E">
        <w:rPr>
          <w:rFonts w:eastAsiaTheme="minorEastAsia"/>
        </w:rPr>
        <w:t xml:space="preserve"> lo que conlleva una carga significativa de trabajo para su personal. </w:t>
      </w:r>
    </w:p>
    <w:p w14:paraId="5857AC42" w14:textId="77777777" w:rsidR="002139E5" w:rsidRDefault="002139E5">
      <w:pPr>
        <w:spacing w:after="160" w:line="259" w:lineRule="auto"/>
        <w:rPr>
          <w:rFonts w:ascii="Arial" w:hAnsi="Arial"/>
          <w:bCs/>
          <w:iCs/>
          <w:color w:val="000000"/>
          <w:spacing w:val="10"/>
          <w:kern w:val="28"/>
          <w:sz w:val="25"/>
          <w:szCs w:val="26"/>
        </w:rPr>
      </w:pPr>
      <w:r>
        <w:br w:type="page"/>
      </w:r>
    </w:p>
    <w:p w14:paraId="0D327F2C" w14:textId="089F0A38" w:rsidR="00824B5F" w:rsidRDefault="00824B5F" w:rsidP="00EB11FE">
      <w:pPr>
        <w:pStyle w:val="atitulo2"/>
        <w:spacing w:before="240"/>
      </w:pPr>
      <w:bookmarkStart w:id="10" w:name="_Toc187821041"/>
      <w:r>
        <w:lastRenderedPageBreak/>
        <w:t>III.4 Recomendaciones</w:t>
      </w:r>
      <w:bookmarkEnd w:id="10"/>
    </w:p>
    <w:p w14:paraId="133DA427" w14:textId="77777777" w:rsidR="00824B5F" w:rsidRDefault="00824B5F" w:rsidP="00EB11FE">
      <w:pPr>
        <w:pStyle w:val="atitulo3"/>
        <w:spacing w:before="240"/>
      </w:pPr>
      <w:r>
        <w:t xml:space="preserve"> III.4.1 Seguimiento de recomendaciones anteriores</w:t>
      </w:r>
    </w:p>
    <w:p w14:paraId="50B0B7BA" w14:textId="247D0D63" w:rsidR="00AF4D4A" w:rsidRDefault="265DEF7F" w:rsidP="3896A6D9">
      <w:pPr>
        <w:pStyle w:val="texto"/>
        <w:spacing w:after="240"/>
        <w:jc w:val="both"/>
        <w:rPr>
          <w:rFonts w:eastAsiaTheme="minorEastAsia"/>
        </w:rPr>
      </w:pPr>
      <w:r w:rsidRPr="3896A6D9">
        <w:rPr>
          <w:rFonts w:eastAsiaTheme="minorEastAsia"/>
        </w:rPr>
        <w:t>En abril de 2019, l</w:t>
      </w:r>
      <w:r w:rsidR="06C261EE" w:rsidRPr="3896A6D9">
        <w:rPr>
          <w:rFonts w:eastAsiaTheme="minorEastAsia"/>
        </w:rPr>
        <w:t>a Cámara de Comptos emitió un informe sobre la gestión de la inclusión socia</w:t>
      </w:r>
      <w:r w:rsidRPr="3896A6D9">
        <w:rPr>
          <w:rFonts w:eastAsiaTheme="minorEastAsia"/>
        </w:rPr>
        <w:t>l y RG en el periodo 2016-2018</w:t>
      </w:r>
      <w:r w:rsidR="419362B4" w:rsidRPr="3896A6D9">
        <w:rPr>
          <w:rFonts w:eastAsiaTheme="minorEastAsia"/>
        </w:rPr>
        <w:t>,</w:t>
      </w:r>
      <w:r w:rsidRPr="3896A6D9">
        <w:rPr>
          <w:rFonts w:eastAsiaTheme="minorEastAsia"/>
        </w:rPr>
        <w:t xml:space="preserve"> que contenía 12 recomendaciones detalladas en el Apéndice </w:t>
      </w:r>
      <w:r w:rsidR="1F0FF311" w:rsidRPr="3896A6D9">
        <w:rPr>
          <w:rFonts w:eastAsiaTheme="minorEastAsia"/>
        </w:rPr>
        <w:t>2.</w:t>
      </w:r>
      <w:r w:rsidR="076F6F82" w:rsidRPr="3896A6D9">
        <w:rPr>
          <w:rFonts w:eastAsiaTheme="minorEastAsia"/>
        </w:rPr>
        <w:t>5</w:t>
      </w:r>
      <w:r w:rsidR="1F0FF311" w:rsidRPr="3896A6D9">
        <w:rPr>
          <w:rFonts w:eastAsiaTheme="minorEastAsia"/>
        </w:rPr>
        <w:t xml:space="preserve"> d</w:t>
      </w:r>
      <w:r w:rsidRPr="3896A6D9">
        <w:rPr>
          <w:rFonts w:eastAsiaTheme="minorEastAsia"/>
        </w:rPr>
        <w:t>e este informe. Del seguimiento realizado sobre su implantación podemos concluir lo siguiente:</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6804"/>
        <w:gridCol w:w="1985"/>
      </w:tblGrid>
      <w:tr w:rsidR="0056596C" w:rsidRPr="00162756" w14:paraId="26099894" w14:textId="77777777" w:rsidTr="00FC0931">
        <w:trPr>
          <w:trHeight w:val="255"/>
        </w:trPr>
        <w:tc>
          <w:tcPr>
            <w:tcW w:w="6804" w:type="dxa"/>
            <w:shd w:val="clear" w:color="auto" w:fill="9CC2E5" w:themeFill="accent1" w:themeFillTint="99"/>
            <w:vAlign w:val="center"/>
          </w:tcPr>
          <w:p w14:paraId="41F338AC" w14:textId="77777777" w:rsidR="0056596C" w:rsidRPr="00EB11FE" w:rsidRDefault="0056596C" w:rsidP="0087076C">
            <w:pPr>
              <w:pStyle w:val="Default"/>
              <w:ind w:right="174"/>
              <w:rPr>
                <w:rFonts w:ascii="Arial" w:hAnsi="Arial" w:cs="Arial"/>
                <w:i/>
                <w:sz w:val="18"/>
                <w:szCs w:val="18"/>
              </w:rPr>
            </w:pPr>
            <w:r w:rsidRPr="00EB11FE">
              <w:rPr>
                <w:rFonts w:ascii="Arial" w:hAnsi="Arial" w:cs="Arial"/>
                <w:i/>
                <w:sz w:val="18"/>
                <w:szCs w:val="18"/>
              </w:rPr>
              <w:t>Recomendación</w:t>
            </w:r>
          </w:p>
        </w:tc>
        <w:tc>
          <w:tcPr>
            <w:tcW w:w="1985" w:type="dxa"/>
            <w:shd w:val="clear" w:color="auto" w:fill="9CC2E5" w:themeFill="accent1" w:themeFillTint="99"/>
            <w:vAlign w:val="center"/>
          </w:tcPr>
          <w:p w14:paraId="5686668E" w14:textId="77777777" w:rsidR="0056596C" w:rsidRPr="00162756" w:rsidRDefault="0056596C" w:rsidP="0087076C">
            <w:pPr>
              <w:pStyle w:val="Default"/>
              <w:rPr>
                <w:rFonts w:ascii="Arial" w:hAnsi="Arial" w:cs="Arial"/>
                <w:sz w:val="18"/>
                <w:szCs w:val="18"/>
              </w:rPr>
            </w:pPr>
            <w:r w:rsidRPr="00162756">
              <w:rPr>
                <w:rFonts w:ascii="Arial" w:hAnsi="Arial" w:cs="Arial"/>
                <w:sz w:val="18"/>
                <w:szCs w:val="18"/>
              </w:rPr>
              <w:t>Análisis del cumplimiento</w:t>
            </w:r>
          </w:p>
        </w:tc>
      </w:tr>
      <w:tr w:rsidR="0056596C" w:rsidRPr="0056596C" w14:paraId="139922C2" w14:textId="77777777" w:rsidTr="00FC0931">
        <w:trPr>
          <w:trHeight w:val="198"/>
        </w:trPr>
        <w:tc>
          <w:tcPr>
            <w:tcW w:w="6804" w:type="dxa"/>
            <w:tcBorders>
              <w:bottom w:val="single" w:sz="2" w:space="0" w:color="auto"/>
            </w:tcBorders>
            <w:vAlign w:val="center"/>
          </w:tcPr>
          <w:p w14:paraId="6A23ED98" w14:textId="77777777" w:rsidR="0056596C" w:rsidRPr="00FC0931" w:rsidRDefault="0056596C" w:rsidP="0087076C">
            <w:pPr>
              <w:pStyle w:val="Default"/>
              <w:ind w:right="174"/>
              <w:jc w:val="both"/>
              <w:rPr>
                <w:rFonts w:ascii="Arial Narrow" w:hAnsi="Arial Narrow"/>
                <w:i/>
              </w:rPr>
            </w:pPr>
            <w:r w:rsidRPr="00FC0931">
              <w:rPr>
                <w:rFonts w:ascii="Arial Narrow" w:eastAsia="Calibri" w:hAnsi="Arial Narrow" w:cs="Times New Roman"/>
                <w:i/>
                <w:lang w:val="es-ES_tradnl"/>
              </w:rPr>
              <w:t>Tramitar todos los expedientes de renta garantizada a través de la aplicación informática TRAMITA</w:t>
            </w:r>
          </w:p>
        </w:tc>
        <w:tc>
          <w:tcPr>
            <w:tcW w:w="1985" w:type="dxa"/>
            <w:tcBorders>
              <w:bottom w:val="single" w:sz="2" w:space="0" w:color="auto"/>
            </w:tcBorders>
            <w:vAlign w:val="center"/>
          </w:tcPr>
          <w:p w14:paraId="0EDA1A47" w14:textId="77777777" w:rsidR="0056596C" w:rsidRPr="0056596C" w:rsidRDefault="0056596C" w:rsidP="0087076C">
            <w:pPr>
              <w:pStyle w:val="Default"/>
              <w:rPr>
                <w:rFonts w:ascii="Arial Narrow" w:hAnsi="Arial Narrow"/>
              </w:rPr>
            </w:pPr>
            <w:r w:rsidRPr="0056596C">
              <w:rPr>
                <w:rFonts w:ascii="Arial Narrow" w:hAnsi="Arial Narrow"/>
              </w:rPr>
              <w:t>Aplicada en su totalidad</w:t>
            </w:r>
          </w:p>
        </w:tc>
      </w:tr>
      <w:tr w:rsidR="0056596C" w:rsidRPr="0056596C" w14:paraId="7BD770F4" w14:textId="77777777" w:rsidTr="00FC0931">
        <w:trPr>
          <w:trHeight w:val="198"/>
        </w:trPr>
        <w:tc>
          <w:tcPr>
            <w:tcW w:w="6804" w:type="dxa"/>
            <w:tcBorders>
              <w:top w:val="single" w:sz="2" w:space="0" w:color="auto"/>
              <w:bottom w:val="single" w:sz="2" w:space="0" w:color="auto"/>
            </w:tcBorders>
            <w:vAlign w:val="center"/>
          </w:tcPr>
          <w:p w14:paraId="09BEE136" w14:textId="77777777" w:rsidR="0056596C" w:rsidRPr="00FC0931" w:rsidRDefault="0056596C" w:rsidP="0087076C">
            <w:pPr>
              <w:pStyle w:val="Default"/>
              <w:ind w:right="174"/>
              <w:jc w:val="both"/>
              <w:rPr>
                <w:rFonts w:ascii="Arial Narrow" w:eastAsia="Calibri" w:hAnsi="Arial Narrow" w:cs="Times New Roman"/>
                <w:i/>
                <w:lang w:val="es-ES_tradnl"/>
              </w:rPr>
            </w:pPr>
            <w:r w:rsidRPr="00FC0931">
              <w:rPr>
                <w:rFonts w:ascii="Arial Narrow" w:eastAsia="Calibri" w:hAnsi="Arial Narrow" w:cs="Times New Roman"/>
                <w:i/>
                <w:lang w:val="es-ES_tradnl"/>
              </w:rPr>
              <w:t>Cumplimentar adecuadamente toda la documentación exigida en la normativa para acreditar el cumplimiento de los requisitos para la obtención de la renta garantizada, por parte de los Servicios Sociales de Base con el fin de agilizar la tramitación de este derecho</w:t>
            </w:r>
          </w:p>
        </w:tc>
        <w:tc>
          <w:tcPr>
            <w:tcW w:w="1985" w:type="dxa"/>
            <w:tcBorders>
              <w:top w:val="single" w:sz="2" w:space="0" w:color="auto"/>
              <w:bottom w:val="single" w:sz="2" w:space="0" w:color="auto"/>
            </w:tcBorders>
            <w:vAlign w:val="center"/>
          </w:tcPr>
          <w:p w14:paraId="7B945DCF" w14:textId="77777777" w:rsidR="0056596C" w:rsidRPr="0056596C" w:rsidRDefault="00016B3C" w:rsidP="0087076C">
            <w:pPr>
              <w:pStyle w:val="Default"/>
              <w:rPr>
                <w:rFonts w:ascii="Arial Narrow" w:hAnsi="Arial Narrow"/>
              </w:rPr>
            </w:pPr>
            <w:r>
              <w:rPr>
                <w:rFonts w:ascii="Arial Narrow" w:hAnsi="Arial Narrow"/>
              </w:rPr>
              <w:t>Aplicada sustancialmente</w:t>
            </w:r>
          </w:p>
        </w:tc>
      </w:tr>
      <w:tr w:rsidR="0056596C" w:rsidRPr="0056596C" w14:paraId="33F4AA02" w14:textId="77777777" w:rsidTr="00FC0931">
        <w:trPr>
          <w:trHeight w:val="198"/>
        </w:trPr>
        <w:tc>
          <w:tcPr>
            <w:tcW w:w="6804" w:type="dxa"/>
            <w:tcBorders>
              <w:top w:val="single" w:sz="2" w:space="0" w:color="auto"/>
              <w:bottom w:val="single" w:sz="2" w:space="0" w:color="auto"/>
            </w:tcBorders>
            <w:vAlign w:val="center"/>
          </w:tcPr>
          <w:p w14:paraId="4AFD55D2" w14:textId="77777777" w:rsidR="0056596C" w:rsidRPr="00FC0931" w:rsidRDefault="07054262" w:rsidP="0087076C">
            <w:pPr>
              <w:pStyle w:val="Default"/>
              <w:ind w:right="174"/>
              <w:jc w:val="both"/>
              <w:rPr>
                <w:rFonts w:ascii="Arial Narrow" w:eastAsia="Calibri" w:hAnsi="Arial Narrow" w:cs="Times New Roman"/>
                <w:i/>
              </w:rPr>
            </w:pPr>
            <w:r w:rsidRPr="00FC0931">
              <w:rPr>
                <w:rFonts w:ascii="Arial Narrow" w:eastAsia="Calibri" w:hAnsi="Arial Narrow" w:cs="Times New Roman"/>
                <w:i/>
              </w:rPr>
              <w:t>Dejar constancia de los controles realizados en los expedientes de solicitud, renovación y modificación de las ayudas por renta garantizada para comprobaciones posteriores de los cambios efectuados</w:t>
            </w:r>
          </w:p>
        </w:tc>
        <w:tc>
          <w:tcPr>
            <w:tcW w:w="1985" w:type="dxa"/>
            <w:tcBorders>
              <w:top w:val="single" w:sz="2" w:space="0" w:color="auto"/>
              <w:bottom w:val="single" w:sz="2" w:space="0" w:color="auto"/>
            </w:tcBorders>
            <w:vAlign w:val="center"/>
          </w:tcPr>
          <w:p w14:paraId="5DAA134D" w14:textId="77777777" w:rsidR="0056596C" w:rsidRPr="0056596C" w:rsidRDefault="00016B3C" w:rsidP="0087076C">
            <w:pPr>
              <w:pStyle w:val="Default"/>
              <w:rPr>
                <w:rFonts w:ascii="Arial Narrow" w:hAnsi="Arial Narrow"/>
              </w:rPr>
            </w:pPr>
            <w:r>
              <w:rPr>
                <w:rFonts w:ascii="Arial Narrow" w:hAnsi="Arial Narrow"/>
              </w:rPr>
              <w:t>Aplicada en su totalidad</w:t>
            </w:r>
          </w:p>
        </w:tc>
      </w:tr>
      <w:tr w:rsidR="0056596C" w:rsidRPr="0056596C" w14:paraId="3CCD11C9" w14:textId="77777777" w:rsidTr="00FC0931">
        <w:trPr>
          <w:trHeight w:val="198"/>
        </w:trPr>
        <w:tc>
          <w:tcPr>
            <w:tcW w:w="6804" w:type="dxa"/>
            <w:tcBorders>
              <w:top w:val="single" w:sz="2" w:space="0" w:color="auto"/>
              <w:bottom w:val="single" w:sz="2" w:space="0" w:color="auto"/>
            </w:tcBorders>
            <w:vAlign w:val="center"/>
          </w:tcPr>
          <w:p w14:paraId="27E13DE9" w14:textId="77777777" w:rsidR="0056596C" w:rsidRPr="00FC0931" w:rsidRDefault="0056596C" w:rsidP="0087076C">
            <w:pPr>
              <w:pStyle w:val="Default"/>
              <w:ind w:right="174"/>
              <w:jc w:val="both"/>
              <w:rPr>
                <w:rFonts w:ascii="Arial Narrow" w:eastAsia="Calibri" w:hAnsi="Arial Narrow" w:cs="Times New Roman"/>
                <w:i/>
                <w:lang w:val="es-ES_tradnl"/>
              </w:rPr>
            </w:pPr>
            <w:r w:rsidRPr="00FC0931">
              <w:rPr>
                <w:rFonts w:ascii="Arial Narrow" w:eastAsia="Calibri" w:hAnsi="Arial Narrow" w:cs="Times New Roman"/>
                <w:i/>
                <w:lang w:val="es-ES_tradnl"/>
              </w:rPr>
              <w:t xml:space="preserve">Constatar el inicio de un proceso personalizado de inclusión social para todas las renovaciones de renta garantizada tras un año ininterrumpido de cobro de la prestación y los recursos ofertados de participación en </w:t>
            </w:r>
            <w:r w:rsidRPr="00FC0931">
              <w:rPr>
                <w:rFonts w:ascii="Arial Narrow" w:eastAsia="Calibri" w:hAnsi="Arial Narrow" w:cs="Times New Roman"/>
                <w:lang w:val="es-ES_tradnl"/>
              </w:rPr>
              <w:t>programas</w:t>
            </w:r>
            <w:r w:rsidRPr="00FC0931">
              <w:rPr>
                <w:rFonts w:ascii="Arial Narrow" w:eastAsia="Calibri" w:hAnsi="Arial Narrow" w:cs="Times New Roman"/>
                <w:i/>
                <w:lang w:val="es-ES_tradnl"/>
              </w:rPr>
              <w:t xml:space="preserve"> de empleo y/o formación a los beneficiarios de garantizada tras un periodo continuo de al menos 24 meses de percepción.</w:t>
            </w:r>
          </w:p>
        </w:tc>
        <w:tc>
          <w:tcPr>
            <w:tcW w:w="1985" w:type="dxa"/>
            <w:tcBorders>
              <w:top w:val="single" w:sz="2" w:space="0" w:color="auto"/>
              <w:bottom w:val="single" w:sz="2" w:space="0" w:color="auto"/>
            </w:tcBorders>
            <w:vAlign w:val="center"/>
          </w:tcPr>
          <w:p w14:paraId="3847AA47" w14:textId="3CD9A1A1" w:rsidR="0056596C" w:rsidRPr="0056596C" w:rsidRDefault="3DE92F7C" w:rsidP="0087076C">
            <w:pPr>
              <w:pStyle w:val="Default"/>
              <w:rPr>
                <w:rFonts w:ascii="Arial Narrow" w:hAnsi="Arial Narrow"/>
              </w:rPr>
            </w:pPr>
            <w:r w:rsidRPr="5D8B6717">
              <w:rPr>
                <w:rFonts w:ascii="Arial Narrow" w:hAnsi="Arial Narrow"/>
              </w:rPr>
              <w:t>Aplicada parcialmente</w:t>
            </w:r>
          </w:p>
        </w:tc>
      </w:tr>
      <w:tr w:rsidR="0056596C" w:rsidRPr="0056596C" w14:paraId="63B7ADEE" w14:textId="77777777" w:rsidTr="00FC0931">
        <w:trPr>
          <w:trHeight w:val="198"/>
        </w:trPr>
        <w:tc>
          <w:tcPr>
            <w:tcW w:w="6804" w:type="dxa"/>
            <w:tcBorders>
              <w:top w:val="single" w:sz="2" w:space="0" w:color="auto"/>
              <w:bottom w:val="single" w:sz="2" w:space="0" w:color="auto"/>
            </w:tcBorders>
            <w:vAlign w:val="center"/>
          </w:tcPr>
          <w:p w14:paraId="02A8BC1F" w14:textId="77777777" w:rsidR="0056596C" w:rsidRPr="00FC0931" w:rsidRDefault="00016B3C" w:rsidP="0087076C">
            <w:pPr>
              <w:pStyle w:val="Default"/>
              <w:ind w:right="174"/>
              <w:jc w:val="both"/>
              <w:rPr>
                <w:rFonts w:ascii="Arial Narrow" w:eastAsia="Calibri" w:hAnsi="Arial Narrow" w:cs="Times New Roman"/>
                <w:i/>
              </w:rPr>
            </w:pPr>
            <w:r w:rsidRPr="00FC0931">
              <w:rPr>
                <w:rFonts w:ascii="Arial Narrow" w:eastAsia="Calibri" w:hAnsi="Arial Narrow" w:cs="Times New Roman"/>
                <w:i/>
              </w:rPr>
              <w:t>Realizar revisiones de oficio sobre las unidades familiares o beneficiarios de renta garantizada, al azar o por muestreo, con el objetivo de detectar posibles incumplimientos de los requisitos exigidos en la normativa.</w:t>
            </w:r>
          </w:p>
        </w:tc>
        <w:tc>
          <w:tcPr>
            <w:tcW w:w="1985" w:type="dxa"/>
            <w:tcBorders>
              <w:top w:val="single" w:sz="2" w:space="0" w:color="auto"/>
              <w:bottom w:val="single" w:sz="2" w:space="0" w:color="auto"/>
            </w:tcBorders>
            <w:vAlign w:val="center"/>
          </w:tcPr>
          <w:p w14:paraId="56479397" w14:textId="77777777" w:rsidR="0056596C" w:rsidRPr="0056596C" w:rsidRDefault="00016B3C" w:rsidP="0087076C">
            <w:pPr>
              <w:pStyle w:val="Default"/>
              <w:rPr>
                <w:rFonts w:ascii="Arial Narrow" w:hAnsi="Arial Narrow"/>
              </w:rPr>
            </w:pPr>
            <w:r>
              <w:rPr>
                <w:rFonts w:ascii="Arial Narrow" w:hAnsi="Arial Narrow"/>
              </w:rPr>
              <w:t>No aplicada</w:t>
            </w:r>
          </w:p>
        </w:tc>
      </w:tr>
      <w:tr w:rsidR="0056596C" w:rsidRPr="0056596C" w14:paraId="47A21F5E" w14:textId="77777777" w:rsidTr="00FC0931">
        <w:trPr>
          <w:trHeight w:val="198"/>
        </w:trPr>
        <w:tc>
          <w:tcPr>
            <w:tcW w:w="6804" w:type="dxa"/>
            <w:tcBorders>
              <w:top w:val="single" w:sz="2" w:space="0" w:color="auto"/>
              <w:bottom w:val="single" w:sz="2" w:space="0" w:color="auto"/>
            </w:tcBorders>
            <w:vAlign w:val="center"/>
          </w:tcPr>
          <w:p w14:paraId="20674032" w14:textId="77777777" w:rsidR="0056596C" w:rsidRPr="00FC0931" w:rsidRDefault="00016B3C" w:rsidP="0087076C">
            <w:pPr>
              <w:pStyle w:val="Default"/>
              <w:ind w:right="174"/>
              <w:jc w:val="both"/>
              <w:rPr>
                <w:rFonts w:ascii="Arial Narrow" w:eastAsia="Calibri" w:hAnsi="Arial Narrow" w:cs="Times New Roman"/>
                <w:i/>
                <w:lang w:val="es-ES_tradnl"/>
              </w:rPr>
            </w:pPr>
            <w:r w:rsidRPr="00FC0931">
              <w:rPr>
                <w:rFonts w:ascii="Arial Narrow" w:eastAsia="Calibri" w:hAnsi="Arial Narrow" w:cs="Times New Roman"/>
                <w:i/>
                <w:lang w:val="es-ES_tradnl"/>
              </w:rPr>
              <w:t xml:space="preserve">Realizar un seguimiento de los expedientes que se envían a la sección de inspección con los informes que se reciben de dicha sección. </w:t>
            </w:r>
          </w:p>
        </w:tc>
        <w:tc>
          <w:tcPr>
            <w:tcW w:w="1985" w:type="dxa"/>
            <w:tcBorders>
              <w:top w:val="single" w:sz="2" w:space="0" w:color="auto"/>
              <w:bottom w:val="single" w:sz="2" w:space="0" w:color="auto"/>
            </w:tcBorders>
            <w:vAlign w:val="center"/>
          </w:tcPr>
          <w:p w14:paraId="551167CE" w14:textId="77777777" w:rsidR="0056596C" w:rsidRPr="0056596C" w:rsidRDefault="00016B3C" w:rsidP="0087076C">
            <w:pPr>
              <w:pStyle w:val="Default"/>
              <w:rPr>
                <w:rFonts w:ascii="Arial Narrow" w:hAnsi="Arial Narrow"/>
              </w:rPr>
            </w:pPr>
            <w:r>
              <w:rPr>
                <w:rFonts w:ascii="Arial Narrow" w:hAnsi="Arial Narrow"/>
              </w:rPr>
              <w:t>Aplicada en su totalidad</w:t>
            </w:r>
          </w:p>
        </w:tc>
      </w:tr>
      <w:tr w:rsidR="0056596C" w:rsidRPr="0056596C" w14:paraId="3E07E807" w14:textId="77777777" w:rsidTr="00FC0931">
        <w:trPr>
          <w:trHeight w:val="198"/>
        </w:trPr>
        <w:tc>
          <w:tcPr>
            <w:tcW w:w="6804" w:type="dxa"/>
            <w:tcBorders>
              <w:top w:val="single" w:sz="2" w:space="0" w:color="auto"/>
              <w:bottom w:val="single" w:sz="2" w:space="0" w:color="auto"/>
            </w:tcBorders>
            <w:vAlign w:val="center"/>
          </w:tcPr>
          <w:p w14:paraId="72D89497" w14:textId="77777777" w:rsidR="0056596C" w:rsidRPr="00FC0931" w:rsidRDefault="00016B3C" w:rsidP="0087076C">
            <w:pPr>
              <w:pStyle w:val="Default"/>
              <w:ind w:right="174"/>
              <w:jc w:val="both"/>
              <w:rPr>
                <w:rFonts w:ascii="Arial Narrow" w:eastAsia="Calibri" w:hAnsi="Arial Narrow" w:cs="Times New Roman"/>
                <w:i/>
                <w:lang w:val="es-ES_tradnl"/>
              </w:rPr>
            </w:pPr>
            <w:r w:rsidRPr="00FC0931">
              <w:rPr>
                <w:rFonts w:ascii="Arial Narrow" w:eastAsia="Calibri" w:hAnsi="Arial Narrow" w:cs="Times New Roman"/>
                <w:i/>
                <w:lang w:val="es-ES_tradnl"/>
              </w:rPr>
              <w:t xml:space="preserve">Adaptar el manual de inspección a la ley foral reguladora vigente del derecho a la renta garantizada. </w:t>
            </w:r>
          </w:p>
        </w:tc>
        <w:tc>
          <w:tcPr>
            <w:tcW w:w="1985" w:type="dxa"/>
            <w:tcBorders>
              <w:top w:val="single" w:sz="2" w:space="0" w:color="auto"/>
              <w:bottom w:val="single" w:sz="2" w:space="0" w:color="auto"/>
            </w:tcBorders>
            <w:vAlign w:val="center"/>
          </w:tcPr>
          <w:p w14:paraId="58D8843F" w14:textId="77777777" w:rsidR="0056596C" w:rsidRPr="0056596C" w:rsidRDefault="00016B3C" w:rsidP="0087076C">
            <w:pPr>
              <w:pStyle w:val="Default"/>
              <w:rPr>
                <w:rFonts w:ascii="Arial Narrow" w:hAnsi="Arial Narrow"/>
              </w:rPr>
            </w:pPr>
            <w:r>
              <w:rPr>
                <w:rFonts w:ascii="Arial Narrow" w:hAnsi="Arial Narrow"/>
              </w:rPr>
              <w:t>Aplicada en su totalidad</w:t>
            </w:r>
          </w:p>
        </w:tc>
      </w:tr>
      <w:tr w:rsidR="0056596C" w:rsidRPr="0056596C" w14:paraId="69CBA37F" w14:textId="77777777" w:rsidTr="00FC0931">
        <w:trPr>
          <w:trHeight w:val="198"/>
        </w:trPr>
        <w:tc>
          <w:tcPr>
            <w:tcW w:w="6804" w:type="dxa"/>
            <w:tcBorders>
              <w:top w:val="single" w:sz="2" w:space="0" w:color="auto"/>
              <w:bottom w:val="single" w:sz="2" w:space="0" w:color="auto"/>
            </w:tcBorders>
            <w:vAlign w:val="center"/>
          </w:tcPr>
          <w:p w14:paraId="2C3CD892" w14:textId="77777777" w:rsidR="0056596C" w:rsidRPr="00FC0931" w:rsidRDefault="00016B3C" w:rsidP="0087076C">
            <w:pPr>
              <w:pStyle w:val="Default"/>
              <w:ind w:right="174"/>
              <w:jc w:val="both"/>
              <w:rPr>
                <w:rFonts w:ascii="Arial Narrow" w:eastAsia="Calibri" w:hAnsi="Arial Narrow" w:cs="Times New Roman"/>
                <w:i/>
                <w:lang w:val="es-ES_tradnl"/>
              </w:rPr>
            </w:pPr>
            <w:r w:rsidRPr="00FC0931">
              <w:rPr>
                <w:rFonts w:ascii="Arial Narrow" w:eastAsia="Calibri" w:hAnsi="Arial Narrow" w:cs="Times New Roman"/>
                <w:i/>
                <w:lang w:val="es-ES_tradnl"/>
              </w:rPr>
              <w:t>Incoar los procedimientos sancionadores en todos los casos de incumplimiento de las obligaciones de los beneficiarios de renta garantizada.</w:t>
            </w:r>
          </w:p>
        </w:tc>
        <w:tc>
          <w:tcPr>
            <w:tcW w:w="1985" w:type="dxa"/>
            <w:tcBorders>
              <w:top w:val="single" w:sz="2" w:space="0" w:color="auto"/>
              <w:bottom w:val="single" w:sz="2" w:space="0" w:color="auto"/>
            </w:tcBorders>
            <w:vAlign w:val="center"/>
          </w:tcPr>
          <w:p w14:paraId="62072C3C" w14:textId="77777777" w:rsidR="0056596C" w:rsidRPr="0056596C" w:rsidRDefault="00016B3C" w:rsidP="0087076C">
            <w:pPr>
              <w:pStyle w:val="Default"/>
              <w:rPr>
                <w:rFonts w:ascii="Arial Narrow" w:hAnsi="Arial Narrow"/>
              </w:rPr>
            </w:pPr>
            <w:r>
              <w:rPr>
                <w:rFonts w:ascii="Arial Narrow" w:hAnsi="Arial Narrow"/>
              </w:rPr>
              <w:t>Aplicada en su totalidad</w:t>
            </w:r>
          </w:p>
        </w:tc>
      </w:tr>
      <w:tr w:rsidR="00016B3C" w:rsidRPr="0056596C" w14:paraId="23FFD4F5" w14:textId="77777777" w:rsidTr="00FC0931">
        <w:trPr>
          <w:trHeight w:val="198"/>
        </w:trPr>
        <w:tc>
          <w:tcPr>
            <w:tcW w:w="6804" w:type="dxa"/>
            <w:tcBorders>
              <w:top w:val="single" w:sz="2" w:space="0" w:color="auto"/>
              <w:bottom w:val="single" w:sz="2" w:space="0" w:color="auto"/>
            </w:tcBorders>
            <w:vAlign w:val="center"/>
          </w:tcPr>
          <w:p w14:paraId="41D97860" w14:textId="77777777" w:rsidR="00016B3C" w:rsidRPr="00FC0931" w:rsidRDefault="00016B3C" w:rsidP="0087076C">
            <w:pPr>
              <w:pStyle w:val="Default"/>
              <w:ind w:right="174"/>
              <w:jc w:val="both"/>
              <w:rPr>
                <w:rFonts w:ascii="Arial Narrow" w:eastAsia="Calibri" w:hAnsi="Arial Narrow" w:cs="Times New Roman"/>
                <w:i/>
                <w:lang w:val="es-ES_tradnl"/>
              </w:rPr>
            </w:pPr>
            <w:r w:rsidRPr="00FC0931">
              <w:rPr>
                <w:rFonts w:ascii="Arial Narrow" w:eastAsia="Calibri" w:hAnsi="Arial Narrow" w:cs="Times New Roman"/>
                <w:i/>
                <w:lang w:val="es-ES_tradnl"/>
              </w:rPr>
              <w:t xml:space="preserve">Definir en los presupuestos generales de Navarra los indicadores necesarios para valorar la eficacia y eficiencia de la gestión de la renta garantizada. </w:t>
            </w:r>
          </w:p>
        </w:tc>
        <w:tc>
          <w:tcPr>
            <w:tcW w:w="1985" w:type="dxa"/>
            <w:tcBorders>
              <w:top w:val="single" w:sz="2" w:space="0" w:color="auto"/>
              <w:bottom w:val="single" w:sz="2" w:space="0" w:color="auto"/>
            </w:tcBorders>
            <w:vAlign w:val="center"/>
          </w:tcPr>
          <w:p w14:paraId="437DC083" w14:textId="77777777" w:rsidR="00016B3C" w:rsidRPr="0056596C" w:rsidRDefault="00016B3C" w:rsidP="0087076C">
            <w:pPr>
              <w:pStyle w:val="Default"/>
              <w:rPr>
                <w:rFonts w:ascii="Arial Narrow" w:hAnsi="Arial Narrow"/>
              </w:rPr>
            </w:pPr>
            <w:r>
              <w:rPr>
                <w:rFonts w:ascii="Arial Narrow" w:hAnsi="Arial Narrow"/>
              </w:rPr>
              <w:t>No aplicada</w:t>
            </w:r>
          </w:p>
        </w:tc>
      </w:tr>
      <w:tr w:rsidR="00016B3C" w:rsidRPr="0056596C" w14:paraId="50E263E3" w14:textId="77777777" w:rsidTr="00FC0931">
        <w:trPr>
          <w:trHeight w:val="198"/>
        </w:trPr>
        <w:tc>
          <w:tcPr>
            <w:tcW w:w="6804" w:type="dxa"/>
            <w:tcBorders>
              <w:top w:val="single" w:sz="2" w:space="0" w:color="auto"/>
              <w:bottom w:val="single" w:sz="2" w:space="0" w:color="auto"/>
            </w:tcBorders>
            <w:vAlign w:val="center"/>
          </w:tcPr>
          <w:p w14:paraId="0F23718C" w14:textId="77777777" w:rsidR="00016B3C" w:rsidRPr="00FC0931" w:rsidRDefault="00016B3C" w:rsidP="0087076C">
            <w:pPr>
              <w:pStyle w:val="Default"/>
              <w:ind w:right="174"/>
              <w:jc w:val="both"/>
              <w:rPr>
                <w:rFonts w:ascii="Arial Narrow" w:eastAsia="Calibri" w:hAnsi="Arial Narrow" w:cs="Times New Roman"/>
                <w:i/>
                <w:lang w:val="es-ES_tradnl"/>
              </w:rPr>
            </w:pPr>
            <w:r w:rsidRPr="00FC0931">
              <w:rPr>
                <w:rFonts w:ascii="Arial Narrow" w:eastAsia="Calibri" w:hAnsi="Arial Narrow" w:cs="Times New Roman"/>
                <w:i/>
                <w:lang w:val="es-ES_tradnl"/>
              </w:rPr>
              <w:t>Estudiar la conveniencia de adaptar el programa informático utilizado para la gestión del derecho a una renta garantizada para que la explotación y análisis de los datos permita conocer y evaluar de manera ágil y operativa el cumplimiento de los objetivos propuestos</w:t>
            </w:r>
          </w:p>
        </w:tc>
        <w:tc>
          <w:tcPr>
            <w:tcW w:w="1985" w:type="dxa"/>
            <w:tcBorders>
              <w:top w:val="single" w:sz="2" w:space="0" w:color="auto"/>
              <w:bottom w:val="single" w:sz="2" w:space="0" w:color="auto"/>
            </w:tcBorders>
            <w:vAlign w:val="center"/>
          </w:tcPr>
          <w:p w14:paraId="0D5BCDCE" w14:textId="77777777" w:rsidR="00016B3C" w:rsidRPr="0056596C" w:rsidRDefault="00016B3C" w:rsidP="0087076C">
            <w:pPr>
              <w:pStyle w:val="Default"/>
              <w:rPr>
                <w:rFonts w:ascii="Arial Narrow" w:hAnsi="Arial Narrow"/>
              </w:rPr>
            </w:pPr>
            <w:r>
              <w:rPr>
                <w:rFonts w:ascii="Arial Narrow" w:hAnsi="Arial Narrow"/>
              </w:rPr>
              <w:t>No aplicable en la actualidad</w:t>
            </w:r>
          </w:p>
        </w:tc>
      </w:tr>
      <w:tr w:rsidR="00016B3C" w:rsidRPr="0056596C" w14:paraId="6561798C" w14:textId="77777777" w:rsidTr="00FC0931">
        <w:trPr>
          <w:trHeight w:val="198"/>
        </w:trPr>
        <w:tc>
          <w:tcPr>
            <w:tcW w:w="6804" w:type="dxa"/>
            <w:tcBorders>
              <w:top w:val="single" w:sz="2" w:space="0" w:color="auto"/>
              <w:bottom w:val="single" w:sz="2" w:space="0" w:color="auto"/>
            </w:tcBorders>
            <w:vAlign w:val="center"/>
          </w:tcPr>
          <w:p w14:paraId="2C5D22F5" w14:textId="77777777" w:rsidR="00016B3C" w:rsidRPr="00FC0931" w:rsidRDefault="00016B3C" w:rsidP="0087076C">
            <w:pPr>
              <w:pStyle w:val="Default"/>
              <w:ind w:right="174"/>
              <w:jc w:val="both"/>
              <w:rPr>
                <w:rFonts w:ascii="Arial Narrow" w:eastAsia="Calibri" w:hAnsi="Arial Narrow" w:cs="Times New Roman"/>
                <w:i/>
                <w:lang w:val="es-ES_tradnl"/>
              </w:rPr>
            </w:pPr>
            <w:r w:rsidRPr="00FC0931">
              <w:rPr>
                <w:rFonts w:ascii="Arial Narrow" w:eastAsia="Calibri" w:hAnsi="Arial Narrow" w:cs="Times New Roman"/>
                <w:i/>
                <w:lang w:val="es-ES_tradnl"/>
              </w:rPr>
              <w:t>Potenciar políticas de empleo y de acceso al mercado laboral para conseguir dotar a las personas de autonomía económica.</w:t>
            </w:r>
          </w:p>
        </w:tc>
        <w:tc>
          <w:tcPr>
            <w:tcW w:w="1985" w:type="dxa"/>
            <w:tcBorders>
              <w:top w:val="single" w:sz="2" w:space="0" w:color="auto"/>
              <w:bottom w:val="single" w:sz="2" w:space="0" w:color="auto"/>
            </w:tcBorders>
            <w:vAlign w:val="center"/>
          </w:tcPr>
          <w:p w14:paraId="68CA9637" w14:textId="5624CD4E" w:rsidR="00016B3C" w:rsidRPr="0056596C" w:rsidRDefault="6A015C82" w:rsidP="0087076C">
            <w:pPr>
              <w:pStyle w:val="Default"/>
              <w:rPr>
                <w:rFonts w:ascii="Arial Narrow" w:hAnsi="Arial Narrow"/>
              </w:rPr>
            </w:pPr>
            <w:r w:rsidRPr="5AD4D6FB">
              <w:rPr>
                <w:rFonts w:ascii="Arial Narrow" w:hAnsi="Arial Narrow"/>
              </w:rPr>
              <w:t>A</w:t>
            </w:r>
            <w:r w:rsidR="00016B3C" w:rsidRPr="5AD4D6FB">
              <w:rPr>
                <w:rFonts w:ascii="Arial Narrow" w:hAnsi="Arial Narrow"/>
              </w:rPr>
              <w:t>plicada</w:t>
            </w:r>
            <w:r w:rsidR="131A0B76" w:rsidRPr="5AD4D6FB">
              <w:rPr>
                <w:rFonts w:ascii="Arial Narrow" w:hAnsi="Arial Narrow"/>
              </w:rPr>
              <w:t xml:space="preserve"> parcialmente</w:t>
            </w:r>
          </w:p>
        </w:tc>
      </w:tr>
      <w:tr w:rsidR="00016B3C" w:rsidRPr="0056596C" w14:paraId="279FB83B" w14:textId="77777777" w:rsidTr="00FC0931">
        <w:trPr>
          <w:trHeight w:val="198"/>
        </w:trPr>
        <w:tc>
          <w:tcPr>
            <w:tcW w:w="6804" w:type="dxa"/>
            <w:tcBorders>
              <w:top w:val="single" w:sz="2" w:space="0" w:color="auto"/>
            </w:tcBorders>
            <w:vAlign w:val="center"/>
          </w:tcPr>
          <w:p w14:paraId="4F3CFFD9" w14:textId="77777777" w:rsidR="00016B3C" w:rsidRPr="00FC0931" w:rsidRDefault="33988751" w:rsidP="0087076C">
            <w:pPr>
              <w:pStyle w:val="Default"/>
              <w:ind w:right="174"/>
              <w:jc w:val="both"/>
              <w:rPr>
                <w:rFonts w:ascii="Arial Narrow" w:eastAsia="Calibri" w:hAnsi="Arial Narrow" w:cs="Times New Roman"/>
                <w:i/>
                <w:iCs/>
              </w:rPr>
            </w:pPr>
            <w:r w:rsidRPr="00FC0931">
              <w:rPr>
                <w:rFonts w:ascii="Arial Narrow" w:eastAsia="Calibri" w:hAnsi="Arial Narrow" w:cs="Times New Roman"/>
                <w:i/>
                <w:iCs/>
              </w:rPr>
              <w:t>Aprobar futuros planes estratégicos de inclusión social en los plazos establecidos en la normativa aplicable.</w:t>
            </w:r>
          </w:p>
        </w:tc>
        <w:tc>
          <w:tcPr>
            <w:tcW w:w="1985" w:type="dxa"/>
            <w:tcBorders>
              <w:top w:val="single" w:sz="2" w:space="0" w:color="auto"/>
            </w:tcBorders>
            <w:vAlign w:val="center"/>
          </w:tcPr>
          <w:p w14:paraId="1C367627" w14:textId="77777777" w:rsidR="00016B3C" w:rsidRPr="0056596C" w:rsidRDefault="00016B3C" w:rsidP="0087076C">
            <w:pPr>
              <w:pStyle w:val="Default"/>
              <w:rPr>
                <w:rFonts w:ascii="Arial Narrow" w:hAnsi="Arial Narrow"/>
              </w:rPr>
            </w:pPr>
            <w:r>
              <w:rPr>
                <w:rFonts w:ascii="Arial Narrow" w:hAnsi="Arial Narrow"/>
              </w:rPr>
              <w:t>No aplicada</w:t>
            </w:r>
          </w:p>
        </w:tc>
      </w:tr>
    </w:tbl>
    <w:p w14:paraId="4A0F162B" w14:textId="77777777" w:rsidR="0027110E" w:rsidRDefault="2C163BFB" w:rsidP="000C0247">
      <w:pPr>
        <w:spacing w:before="240" w:after="160" w:line="259" w:lineRule="auto"/>
        <w:ind w:firstLine="284"/>
        <w:jc w:val="both"/>
        <w:rPr>
          <w:rFonts w:eastAsiaTheme="minorEastAsia"/>
        </w:rPr>
      </w:pPr>
      <w:r w:rsidRPr="0027110E">
        <w:rPr>
          <w:rFonts w:eastAsiaTheme="minorEastAsia"/>
          <w:spacing w:val="6"/>
          <w:sz w:val="26"/>
        </w:rPr>
        <w:t xml:space="preserve">En </w:t>
      </w:r>
      <w:r w:rsidRPr="00DE7E31">
        <w:rPr>
          <w:rFonts w:eastAsiaTheme="minorEastAsia"/>
          <w:b/>
          <w:spacing w:val="6"/>
          <w:sz w:val="26"/>
        </w:rPr>
        <w:t>definitiva,</w:t>
      </w:r>
      <w:r w:rsidRPr="0027110E">
        <w:rPr>
          <w:rFonts w:eastAsiaTheme="minorEastAsia"/>
          <w:spacing w:val="6"/>
          <w:sz w:val="26"/>
        </w:rPr>
        <w:t xml:space="preserve"> se han cumplido total o sustancialmente seis recomendaciones, parcialmente </w:t>
      </w:r>
      <w:r w:rsidR="681A4815" w:rsidRPr="0027110E">
        <w:rPr>
          <w:rFonts w:eastAsiaTheme="minorEastAsia"/>
          <w:spacing w:val="6"/>
          <w:sz w:val="26"/>
        </w:rPr>
        <w:t>dos</w:t>
      </w:r>
      <w:r w:rsidRPr="0027110E">
        <w:rPr>
          <w:rFonts w:eastAsiaTheme="minorEastAsia"/>
          <w:spacing w:val="6"/>
          <w:sz w:val="26"/>
        </w:rPr>
        <w:t xml:space="preserve"> de ellas, estando pendiente de ser aplicadas </w:t>
      </w:r>
      <w:r w:rsidR="5970A79A" w:rsidRPr="0027110E">
        <w:rPr>
          <w:rFonts w:eastAsiaTheme="minorEastAsia"/>
          <w:spacing w:val="6"/>
          <w:sz w:val="26"/>
        </w:rPr>
        <w:t>tres</w:t>
      </w:r>
      <w:r w:rsidRPr="0027110E">
        <w:rPr>
          <w:rFonts w:eastAsiaTheme="minorEastAsia"/>
          <w:spacing w:val="6"/>
          <w:sz w:val="26"/>
        </w:rPr>
        <w:t xml:space="preserve"> de ellas y careciendo de validez la referida a la mejora del SIPSS por estar </w:t>
      </w:r>
      <w:r w:rsidR="34EED6AA" w:rsidRPr="0027110E">
        <w:rPr>
          <w:rFonts w:eastAsiaTheme="minorEastAsia"/>
          <w:spacing w:val="6"/>
          <w:sz w:val="26"/>
        </w:rPr>
        <w:t>desarrollándose</w:t>
      </w:r>
      <w:r w:rsidRPr="0027110E">
        <w:rPr>
          <w:rFonts w:eastAsiaTheme="minorEastAsia"/>
          <w:spacing w:val="6"/>
          <w:sz w:val="26"/>
        </w:rPr>
        <w:t xml:space="preserve"> </w:t>
      </w:r>
      <w:r w:rsidR="3DD2237A" w:rsidRPr="0027110E">
        <w:rPr>
          <w:rFonts w:eastAsiaTheme="minorEastAsia"/>
          <w:spacing w:val="6"/>
          <w:sz w:val="26"/>
        </w:rPr>
        <w:t xml:space="preserve">a la fecha de redacción de este informe </w:t>
      </w:r>
      <w:r w:rsidRPr="0027110E">
        <w:rPr>
          <w:rFonts w:eastAsiaTheme="minorEastAsia"/>
          <w:spacing w:val="6"/>
          <w:sz w:val="26"/>
        </w:rPr>
        <w:t>un nuevo</w:t>
      </w:r>
      <w:r w:rsidR="722BCBA1" w:rsidRPr="0027110E">
        <w:rPr>
          <w:rFonts w:eastAsiaTheme="minorEastAsia"/>
          <w:spacing w:val="6"/>
          <w:sz w:val="26"/>
        </w:rPr>
        <w:t xml:space="preserve"> programa informático</w:t>
      </w:r>
      <w:r w:rsidR="65DA628C" w:rsidRPr="0027110E">
        <w:rPr>
          <w:rFonts w:eastAsiaTheme="minorEastAsia"/>
          <w:spacing w:val="6"/>
          <w:sz w:val="26"/>
        </w:rPr>
        <w:t>.</w:t>
      </w:r>
      <w:r w:rsidRPr="3896A6D9">
        <w:rPr>
          <w:rFonts w:eastAsiaTheme="minorEastAsia"/>
        </w:rPr>
        <w:t xml:space="preserve"> </w:t>
      </w:r>
    </w:p>
    <w:p w14:paraId="55C75A9A" w14:textId="77777777" w:rsidR="00F058C8" w:rsidRDefault="00F058C8">
      <w:pPr>
        <w:spacing w:after="160" w:line="259" w:lineRule="auto"/>
        <w:rPr>
          <w:rFonts w:ascii="Arial" w:hAnsi="Arial"/>
          <w:i/>
          <w:iCs/>
          <w:color w:val="000000"/>
          <w:spacing w:val="10"/>
          <w:kern w:val="28"/>
          <w:sz w:val="25"/>
          <w:szCs w:val="26"/>
        </w:rPr>
      </w:pPr>
      <w:r>
        <w:br w:type="page"/>
      </w:r>
    </w:p>
    <w:p w14:paraId="725824ED" w14:textId="11C951C5" w:rsidR="00824B5F" w:rsidRPr="00EB11FE" w:rsidRDefault="7D4E784B" w:rsidP="00EB11FE">
      <w:pPr>
        <w:pStyle w:val="atitulo3"/>
        <w:spacing w:before="240"/>
      </w:pPr>
      <w:r>
        <w:lastRenderedPageBreak/>
        <w:t xml:space="preserve">III.4.2 </w:t>
      </w:r>
      <w:r w:rsidR="00BD70D9">
        <w:t>R</w:t>
      </w:r>
      <w:r>
        <w:t xml:space="preserve">ecomendaciones </w:t>
      </w:r>
    </w:p>
    <w:p w14:paraId="3777395F" w14:textId="0CDB2FFE" w:rsidR="00824B5F" w:rsidRPr="00625F58" w:rsidRDefault="00625F58" w:rsidP="3896A6D9">
      <w:pPr>
        <w:pStyle w:val="texto"/>
        <w:spacing w:after="140"/>
        <w:jc w:val="both"/>
        <w:rPr>
          <w:rFonts w:eastAsiaTheme="minorEastAsia"/>
        </w:rPr>
      </w:pPr>
      <w:r w:rsidRPr="3896A6D9">
        <w:rPr>
          <w:rFonts w:eastAsiaTheme="minorEastAsia"/>
        </w:rPr>
        <w:t xml:space="preserve">Teniendo en cuenta las </w:t>
      </w:r>
      <w:r w:rsidRPr="3896A6D9">
        <w:t>conclusiones</w:t>
      </w:r>
      <w:r w:rsidRPr="3896A6D9">
        <w:rPr>
          <w:rFonts w:eastAsiaTheme="minorEastAsia"/>
        </w:rPr>
        <w:t xml:space="preserve"> de nuestro trabajo</w:t>
      </w:r>
      <w:r w:rsidR="0088075A" w:rsidRPr="3896A6D9">
        <w:rPr>
          <w:rFonts w:eastAsiaTheme="minorEastAsia"/>
        </w:rPr>
        <w:t>, además de las recomendaciones que siguen vigentes</w:t>
      </w:r>
      <w:r w:rsidR="3AED7040" w:rsidRPr="3896A6D9">
        <w:rPr>
          <w:rFonts w:eastAsiaTheme="minorEastAsia"/>
        </w:rPr>
        <w:t xml:space="preserve"> del informe anterior de esta Cámara</w:t>
      </w:r>
      <w:r w:rsidR="0088075A" w:rsidRPr="3896A6D9">
        <w:rPr>
          <w:rFonts w:eastAsiaTheme="minorEastAsia"/>
        </w:rPr>
        <w:t>,</w:t>
      </w:r>
      <w:r w:rsidRPr="3896A6D9">
        <w:rPr>
          <w:rFonts w:eastAsiaTheme="minorEastAsia"/>
        </w:rPr>
        <w:t xml:space="preserve"> </w:t>
      </w:r>
      <w:r w:rsidRPr="3896A6D9">
        <w:rPr>
          <w:rFonts w:eastAsiaTheme="minorEastAsia"/>
          <w:i/>
          <w:iCs/>
        </w:rPr>
        <w:t>recomendamos</w:t>
      </w:r>
      <w:r w:rsidRPr="3896A6D9">
        <w:rPr>
          <w:rFonts w:eastAsiaTheme="minorEastAsia"/>
        </w:rPr>
        <w:t>:</w:t>
      </w:r>
    </w:p>
    <w:p w14:paraId="7318836C" w14:textId="3E49A20C" w:rsidR="008A235C" w:rsidRPr="00FC0FC8" w:rsidRDefault="00FC0FC8"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Theme="minorEastAsia"/>
          <w:i/>
          <w:iCs/>
        </w:rPr>
      </w:pPr>
      <w:r>
        <w:rPr>
          <w:rFonts w:eastAsiaTheme="minorEastAsia"/>
          <w:i/>
          <w:iCs/>
        </w:rPr>
        <w:t>Intensificar las acciones llevadas a cabo con las personas disponibles para el empleo perceptoras de RG para conseguir que accedan al mercado laboral y reducir así su vulnerabilidad económica.</w:t>
      </w:r>
      <w:r w:rsidR="00EB2E85" w:rsidRPr="00FC0FC8">
        <w:rPr>
          <w:rFonts w:eastAsiaTheme="minorEastAsia"/>
          <w:i/>
          <w:iCs/>
        </w:rPr>
        <w:t xml:space="preserve"> </w:t>
      </w:r>
    </w:p>
    <w:p w14:paraId="17D43080" w14:textId="6F7AD30E" w:rsidR="0001346B" w:rsidRPr="00DB4020" w:rsidRDefault="0001346B"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Theme="minorEastAsia"/>
          <w:i/>
          <w:iCs/>
        </w:rPr>
      </w:pPr>
      <w:r w:rsidRPr="3896A6D9">
        <w:rPr>
          <w:rFonts w:eastAsiaTheme="minorEastAsia"/>
          <w:i/>
          <w:iCs/>
        </w:rPr>
        <w:t>Reflexionar sobre la</w:t>
      </w:r>
      <w:r w:rsidR="3C4B409A" w:rsidRPr="3896A6D9">
        <w:rPr>
          <w:rFonts w:eastAsiaTheme="minorEastAsia"/>
          <w:i/>
          <w:iCs/>
        </w:rPr>
        <w:t xml:space="preserve"> idoneidad del catálogo actual de prestaciones</w:t>
      </w:r>
      <w:r w:rsidRPr="3896A6D9">
        <w:rPr>
          <w:rFonts w:eastAsiaTheme="minorEastAsia"/>
          <w:i/>
          <w:iCs/>
        </w:rPr>
        <w:t xml:space="preserve"> considerando la compatibilidad de muchas de ellas, sus fines y su gestión.</w:t>
      </w:r>
    </w:p>
    <w:p w14:paraId="642D9828" w14:textId="143D0FBB" w:rsidR="00BE0D35" w:rsidRPr="00DB4020" w:rsidRDefault="21F5C6BA"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Theme="minorEastAsia"/>
          <w:i/>
          <w:iCs/>
        </w:rPr>
      </w:pPr>
      <w:r w:rsidRPr="3896A6D9">
        <w:rPr>
          <w:rFonts w:eastAsiaTheme="minorEastAsia"/>
          <w:i/>
          <w:iCs/>
        </w:rPr>
        <w:t xml:space="preserve">Finalizar el desarrollo </w:t>
      </w:r>
      <w:r w:rsidR="726C832A" w:rsidRPr="3896A6D9">
        <w:rPr>
          <w:rFonts w:eastAsiaTheme="minorEastAsia"/>
          <w:i/>
          <w:iCs/>
        </w:rPr>
        <w:t>de</w:t>
      </w:r>
      <w:r w:rsidR="287D1027" w:rsidRPr="3896A6D9">
        <w:rPr>
          <w:rFonts w:eastAsiaTheme="minorEastAsia"/>
          <w:i/>
          <w:iCs/>
        </w:rPr>
        <w:t xml:space="preserve"> un programa informático</w:t>
      </w:r>
      <w:r w:rsidR="00945509" w:rsidRPr="3896A6D9">
        <w:rPr>
          <w:rFonts w:eastAsiaTheme="minorEastAsia"/>
          <w:i/>
          <w:iCs/>
        </w:rPr>
        <w:t xml:space="preserve"> </w:t>
      </w:r>
      <w:r w:rsidR="006318CD" w:rsidRPr="3896A6D9">
        <w:rPr>
          <w:rFonts w:eastAsiaTheme="minorEastAsia"/>
          <w:i/>
          <w:iCs/>
        </w:rPr>
        <w:t xml:space="preserve">o adaptar el existente </w:t>
      </w:r>
      <w:r w:rsidR="00BE0D35" w:rsidRPr="3896A6D9">
        <w:rPr>
          <w:rFonts w:eastAsiaTheme="minorEastAsia"/>
          <w:i/>
          <w:iCs/>
        </w:rPr>
        <w:t xml:space="preserve">con las siguientes funcionalidades: </w:t>
      </w:r>
    </w:p>
    <w:p w14:paraId="0728E70A" w14:textId="52058AE3" w:rsidR="00BE0D35" w:rsidRPr="00DB4020" w:rsidRDefault="00BE0D35" w:rsidP="00DF1D6D">
      <w:pPr>
        <w:pStyle w:val="texto"/>
        <w:numPr>
          <w:ilvl w:val="1"/>
          <w:numId w:val="44"/>
        </w:numPr>
        <w:tabs>
          <w:tab w:val="clear" w:pos="2835"/>
          <w:tab w:val="clear" w:pos="3969"/>
          <w:tab w:val="clear" w:pos="5103"/>
          <w:tab w:val="clear" w:pos="6237"/>
          <w:tab w:val="clear" w:pos="7371"/>
          <w:tab w:val="left" w:pos="567"/>
        </w:tabs>
        <w:spacing w:after="140"/>
        <w:ind w:left="284" w:firstLine="0"/>
        <w:jc w:val="both"/>
        <w:rPr>
          <w:rFonts w:eastAsiaTheme="minorEastAsia"/>
          <w:i/>
          <w:iCs/>
        </w:rPr>
      </w:pPr>
      <w:r w:rsidRPr="00DB4020">
        <w:rPr>
          <w:rFonts w:eastAsiaTheme="minorEastAsia"/>
          <w:i/>
          <w:iCs/>
        </w:rPr>
        <w:t xml:space="preserve">Interconexión </w:t>
      </w:r>
      <w:r w:rsidR="000F4369" w:rsidRPr="00DB4020">
        <w:rPr>
          <w:rFonts w:eastAsiaTheme="minorEastAsia"/>
          <w:i/>
          <w:iCs/>
        </w:rPr>
        <w:t xml:space="preserve">automática </w:t>
      </w:r>
      <w:r w:rsidRPr="00DB4020">
        <w:rPr>
          <w:rFonts w:eastAsiaTheme="minorEastAsia"/>
          <w:i/>
          <w:iCs/>
        </w:rPr>
        <w:t xml:space="preserve">con las bases de datos </w:t>
      </w:r>
      <w:r w:rsidR="00945509" w:rsidRPr="00DB4020">
        <w:rPr>
          <w:rFonts w:eastAsiaTheme="minorEastAsia"/>
          <w:i/>
          <w:iCs/>
        </w:rPr>
        <w:t>necesari</w:t>
      </w:r>
      <w:r w:rsidRPr="00DB4020">
        <w:rPr>
          <w:rFonts w:eastAsiaTheme="minorEastAsia"/>
          <w:i/>
          <w:iCs/>
        </w:rPr>
        <w:t>a</w:t>
      </w:r>
      <w:r w:rsidR="00945509" w:rsidRPr="00DB4020">
        <w:rPr>
          <w:rFonts w:eastAsiaTheme="minorEastAsia"/>
          <w:i/>
          <w:iCs/>
        </w:rPr>
        <w:t xml:space="preserve">s para verificar el cumplimiento de las obligaciones </w:t>
      </w:r>
      <w:r w:rsidR="002139E5">
        <w:rPr>
          <w:rFonts w:eastAsiaTheme="minorEastAsia"/>
          <w:i/>
          <w:iCs/>
        </w:rPr>
        <w:t xml:space="preserve">y requisitos </w:t>
      </w:r>
      <w:r w:rsidR="00945509" w:rsidRPr="00DB4020">
        <w:rPr>
          <w:rFonts w:eastAsiaTheme="minorEastAsia"/>
          <w:i/>
          <w:iCs/>
        </w:rPr>
        <w:t>de las unidades familiares perceptoras</w:t>
      </w:r>
      <w:r w:rsidR="002139E5">
        <w:rPr>
          <w:rFonts w:eastAsiaTheme="minorEastAsia"/>
          <w:i/>
          <w:iCs/>
        </w:rPr>
        <w:t>.</w:t>
      </w:r>
    </w:p>
    <w:p w14:paraId="1BBDDA14" w14:textId="6A27F140" w:rsidR="00945509" w:rsidRPr="00DB4020" w:rsidRDefault="00BE0D35" w:rsidP="00DF1D6D">
      <w:pPr>
        <w:pStyle w:val="texto"/>
        <w:numPr>
          <w:ilvl w:val="1"/>
          <w:numId w:val="44"/>
        </w:numPr>
        <w:tabs>
          <w:tab w:val="clear" w:pos="2835"/>
          <w:tab w:val="clear" w:pos="3969"/>
          <w:tab w:val="clear" w:pos="5103"/>
          <w:tab w:val="clear" w:pos="6237"/>
          <w:tab w:val="clear" w:pos="7371"/>
          <w:tab w:val="left" w:pos="567"/>
        </w:tabs>
        <w:spacing w:after="140"/>
        <w:ind w:left="284" w:firstLine="0"/>
        <w:jc w:val="both"/>
        <w:rPr>
          <w:rFonts w:eastAsiaTheme="minorEastAsia"/>
          <w:i/>
          <w:iCs/>
        </w:rPr>
      </w:pPr>
      <w:r w:rsidRPr="00DB4020">
        <w:rPr>
          <w:rFonts w:eastAsiaTheme="minorEastAsia"/>
          <w:i/>
          <w:iCs/>
        </w:rPr>
        <w:t>Registro automático del histórico de las modificaciones realizadas en</w:t>
      </w:r>
      <w:r w:rsidR="006318CD" w:rsidRPr="00DB4020">
        <w:rPr>
          <w:rFonts w:eastAsiaTheme="minorEastAsia"/>
          <w:i/>
          <w:iCs/>
        </w:rPr>
        <w:t xml:space="preserve"> los expedientes</w:t>
      </w:r>
      <w:r w:rsidRPr="00DB4020">
        <w:rPr>
          <w:rFonts w:eastAsiaTheme="minorEastAsia"/>
          <w:i/>
          <w:iCs/>
        </w:rPr>
        <w:t xml:space="preserve"> de forma que exista trazabilidad de las mismas</w:t>
      </w:r>
      <w:r w:rsidR="006318CD" w:rsidRPr="00DB4020">
        <w:rPr>
          <w:rFonts w:eastAsiaTheme="minorEastAsia"/>
          <w:i/>
          <w:iCs/>
        </w:rPr>
        <w:t xml:space="preserve">. </w:t>
      </w:r>
    </w:p>
    <w:p w14:paraId="6640D19B" w14:textId="5D7EEEC9" w:rsidR="00BE0D35" w:rsidRPr="00DB4020" w:rsidRDefault="007615BB" w:rsidP="00B07A5F">
      <w:pPr>
        <w:pStyle w:val="texto"/>
        <w:numPr>
          <w:ilvl w:val="1"/>
          <w:numId w:val="44"/>
        </w:numPr>
        <w:tabs>
          <w:tab w:val="clear" w:pos="2835"/>
          <w:tab w:val="clear" w:pos="3969"/>
          <w:tab w:val="clear" w:pos="5103"/>
          <w:tab w:val="clear" w:pos="6237"/>
          <w:tab w:val="clear" w:pos="7371"/>
          <w:tab w:val="left" w:pos="567"/>
        </w:tabs>
        <w:spacing w:after="140"/>
        <w:ind w:left="0" w:firstLine="284"/>
        <w:jc w:val="both"/>
        <w:rPr>
          <w:rFonts w:eastAsiaTheme="minorEastAsia"/>
          <w:i/>
          <w:iCs/>
        </w:rPr>
      </w:pPr>
      <w:r w:rsidRPr="3896A6D9">
        <w:rPr>
          <w:rFonts w:eastAsiaTheme="minorEastAsia"/>
          <w:i/>
          <w:iCs/>
        </w:rPr>
        <w:t xml:space="preserve">Facilitar la gestión conjunta de RG e IMV. </w:t>
      </w:r>
    </w:p>
    <w:p w14:paraId="1565F16E" w14:textId="1BCC0CDE" w:rsidR="5717F091" w:rsidRPr="0027110E" w:rsidRDefault="5717F091"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Theme="minorEastAsia"/>
          <w:i/>
          <w:iCs/>
        </w:rPr>
      </w:pPr>
      <w:r w:rsidRPr="0027110E">
        <w:rPr>
          <w:rFonts w:eastAsiaTheme="minorEastAsia"/>
          <w:i/>
          <w:iCs/>
        </w:rPr>
        <w:t>Revisar</w:t>
      </w:r>
      <w:r w:rsidR="5D7BEACD" w:rsidRPr="0027110E">
        <w:rPr>
          <w:rFonts w:eastAsiaTheme="minorEastAsia"/>
          <w:i/>
          <w:iCs/>
        </w:rPr>
        <w:t xml:space="preserve"> de oficio </w:t>
      </w:r>
      <w:r w:rsidR="433D7B38" w:rsidRPr="0027110E">
        <w:rPr>
          <w:rFonts w:eastAsiaTheme="minorEastAsia"/>
          <w:i/>
          <w:iCs/>
        </w:rPr>
        <w:t>las</w:t>
      </w:r>
      <w:r w:rsidR="5D7BEACD" w:rsidRPr="0027110E">
        <w:rPr>
          <w:rFonts w:eastAsiaTheme="minorEastAsia"/>
          <w:i/>
          <w:iCs/>
        </w:rPr>
        <w:t xml:space="preserve"> resoluciones de concesiones de RG </w:t>
      </w:r>
      <w:r w:rsidR="5D7BEACD" w:rsidRPr="00FC0FC8">
        <w:rPr>
          <w:rFonts w:eastAsiaTheme="minorEastAsia"/>
          <w:i/>
          <w:iCs/>
        </w:rPr>
        <w:t xml:space="preserve">de </w:t>
      </w:r>
      <w:r w:rsidR="56E47707" w:rsidRPr="00FC0FC8">
        <w:rPr>
          <w:rFonts w:eastAsiaTheme="minorEastAsia"/>
          <w:i/>
          <w:iCs/>
        </w:rPr>
        <w:t>2023</w:t>
      </w:r>
      <w:r w:rsidR="5D7BEACD" w:rsidRPr="00FC0FC8">
        <w:rPr>
          <w:rFonts w:eastAsiaTheme="minorEastAsia"/>
          <w:i/>
          <w:iCs/>
        </w:rPr>
        <w:t xml:space="preserve"> en</w:t>
      </w:r>
      <w:r w:rsidR="5D7BEACD" w:rsidRPr="0027110E">
        <w:rPr>
          <w:rFonts w:eastAsiaTheme="minorEastAsia"/>
          <w:i/>
          <w:iCs/>
        </w:rPr>
        <w:t xml:space="preserve"> las que la API deba ser considerado ingreso computable</w:t>
      </w:r>
      <w:r w:rsidR="0027110E">
        <w:rPr>
          <w:rFonts w:eastAsiaTheme="minorEastAsia"/>
          <w:i/>
          <w:iCs/>
        </w:rPr>
        <w:t>,</w:t>
      </w:r>
      <w:r w:rsidR="5D7BEACD" w:rsidRPr="0027110E">
        <w:rPr>
          <w:rFonts w:eastAsiaTheme="minorEastAsia"/>
          <w:i/>
          <w:iCs/>
        </w:rPr>
        <w:t xml:space="preserve"> </w:t>
      </w:r>
      <w:r w:rsidR="3FE097BF" w:rsidRPr="0027110E">
        <w:rPr>
          <w:rFonts w:eastAsiaTheme="minorEastAsia"/>
          <w:i/>
          <w:iCs/>
        </w:rPr>
        <w:t>para proceder</w:t>
      </w:r>
      <w:r w:rsidR="0027110E">
        <w:rPr>
          <w:rFonts w:eastAsiaTheme="minorEastAsia"/>
          <w:i/>
          <w:iCs/>
        </w:rPr>
        <w:t>,</w:t>
      </w:r>
      <w:r w:rsidR="3FE097BF" w:rsidRPr="0027110E">
        <w:rPr>
          <w:rFonts w:eastAsiaTheme="minorEastAsia"/>
          <w:i/>
          <w:iCs/>
        </w:rPr>
        <w:t xml:space="preserve"> en su caso</w:t>
      </w:r>
      <w:r w:rsidR="0027110E">
        <w:rPr>
          <w:rFonts w:eastAsiaTheme="minorEastAsia"/>
          <w:i/>
          <w:iCs/>
        </w:rPr>
        <w:t>,</w:t>
      </w:r>
      <w:r w:rsidR="3FE097BF" w:rsidRPr="0027110E">
        <w:rPr>
          <w:rFonts w:eastAsiaTheme="minorEastAsia"/>
          <w:i/>
          <w:iCs/>
        </w:rPr>
        <w:t xml:space="preserve"> a la regularización de las cuantías correspondientes</w:t>
      </w:r>
      <w:r w:rsidR="0027110E">
        <w:rPr>
          <w:rFonts w:eastAsiaTheme="minorEastAsia"/>
          <w:i/>
          <w:iCs/>
        </w:rPr>
        <w:t>.</w:t>
      </w:r>
    </w:p>
    <w:p w14:paraId="358EDDC2" w14:textId="692C8602" w:rsidR="00945509" w:rsidRPr="00DB4020" w:rsidRDefault="007615BB" w:rsidP="00EB11FE">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Theme="minorEastAsia"/>
          <w:i/>
          <w:iCs/>
        </w:rPr>
      </w:pPr>
      <w:r w:rsidRPr="00DB4020">
        <w:rPr>
          <w:rFonts w:eastAsiaTheme="minorEastAsia"/>
          <w:i/>
          <w:iCs/>
        </w:rPr>
        <w:t xml:space="preserve">Promover el uso de la funcionalidad de SIPSS del “cálculo de RG” para obtener automáticamente las cuantías de </w:t>
      </w:r>
      <w:r w:rsidR="00FF7F57" w:rsidRPr="00DB4020">
        <w:rPr>
          <w:rFonts w:eastAsiaTheme="minorEastAsia"/>
          <w:i/>
          <w:iCs/>
        </w:rPr>
        <w:t>los</w:t>
      </w:r>
      <w:r w:rsidRPr="00DB4020">
        <w:rPr>
          <w:rFonts w:eastAsiaTheme="minorEastAsia"/>
          <w:i/>
          <w:iCs/>
        </w:rPr>
        <w:t xml:space="preserve"> </w:t>
      </w:r>
      <w:r w:rsidR="00FF7F57" w:rsidRPr="00DB4020">
        <w:rPr>
          <w:rFonts w:eastAsiaTheme="minorEastAsia"/>
          <w:i/>
          <w:iCs/>
        </w:rPr>
        <w:t>pagos</w:t>
      </w:r>
      <w:r w:rsidRPr="00DB4020">
        <w:rPr>
          <w:rFonts w:eastAsiaTheme="minorEastAsia"/>
          <w:i/>
          <w:iCs/>
        </w:rPr>
        <w:t xml:space="preserve">. </w:t>
      </w:r>
    </w:p>
    <w:p w14:paraId="58700526" w14:textId="45EA9918" w:rsidR="00EB6A1A" w:rsidRPr="00DB4020" w:rsidRDefault="00DA48B5"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Theme="minorEastAsia"/>
          <w:i/>
          <w:iCs/>
        </w:rPr>
      </w:pPr>
      <w:r>
        <w:rPr>
          <w:rFonts w:eastAsiaTheme="minorEastAsia"/>
          <w:i/>
          <w:iCs/>
        </w:rPr>
        <w:t>Incrementar</w:t>
      </w:r>
      <w:r w:rsidR="00FC0FC8">
        <w:rPr>
          <w:rFonts w:eastAsiaTheme="minorEastAsia"/>
          <w:i/>
          <w:iCs/>
        </w:rPr>
        <w:t xml:space="preserve"> los recursos de personal destinados a cuestiones estratégicas de la RG y el IMV como </w:t>
      </w:r>
      <w:r>
        <w:rPr>
          <w:rFonts w:eastAsiaTheme="minorEastAsia"/>
          <w:i/>
          <w:iCs/>
        </w:rPr>
        <w:t>los sistemas de información o las inspecciones llevadas a cabo para mejorar la gestión de las mismas</w:t>
      </w:r>
      <w:r w:rsidR="00EB6A1A" w:rsidRPr="3896A6D9">
        <w:rPr>
          <w:rFonts w:eastAsiaTheme="minorEastAsia"/>
          <w:i/>
          <w:iCs/>
        </w:rPr>
        <w:t>.</w:t>
      </w:r>
    </w:p>
    <w:p w14:paraId="19581136" w14:textId="54BABA74" w:rsidR="009D4397" w:rsidRPr="000E021A" w:rsidRDefault="770FAA0F"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Theme="minorEastAsia"/>
          <w:i/>
          <w:iCs/>
        </w:rPr>
      </w:pPr>
      <w:r w:rsidRPr="000E021A">
        <w:rPr>
          <w:rFonts w:eastAsiaTheme="minorEastAsia"/>
          <w:i/>
          <w:iCs/>
        </w:rPr>
        <w:t xml:space="preserve">Modificar </w:t>
      </w:r>
      <w:r w:rsidR="002139E5" w:rsidRPr="000E021A">
        <w:rPr>
          <w:rFonts w:eastAsiaTheme="minorEastAsia"/>
          <w:i/>
          <w:iCs/>
        </w:rPr>
        <w:t>la normativa</w:t>
      </w:r>
      <w:r w:rsidRPr="000E021A">
        <w:rPr>
          <w:rFonts w:eastAsiaTheme="minorEastAsia"/>
          <w:i/>
          <w:iCs/>
        </w:rPr>
        <w:t xml:space="preserve"> </w:t>
      </w:r>
      <w:r w:rsidR="009D4397" w:rsidRPr="000E021A">
        <w:rPr>
          <w:rFonts w:eastAsiaTheme="minorEastAsia"/>
          <w:i/>
          <w:iCs/>
        </w:rPr>
        <w:t>para poder verificar el cumplimiento de los requisitos relacionados con el empadronamiento y convivencia.</w:t>
      </w:r>
      <w:r w:rsidR="000E021A" w:rsidRPr="000E021A">
        <w:rPr>
          <w:rFonts w:eastAsiaTheme="minorEastAsia"/>
          <w:i/>
          <w:iCs/>
        </w:rPr>
        <w:t xml:space="preserve"> </w:t>
      </w:r>
      <w:r w:rsidR="69C7D4CC" w:rsidRPr="000E021A">
        <w:rPr>
          <w:rFonts w:eastAsiaTheme="minorEastAsia"/>
          <w:i/>
          <w:iCs/>
        </w:rPr>
        <w:t xml:space="preserve"> </w:t>
      </w:r>
    </w:p>
    <w:p w14:paraId="6E71576E" w14:textId="2A9DACF8" w:rsidR="00B43EF9" w:rsidRPr="002E63C1" w:rsidRDefault="009D4397" w:rsidP="002E63C1">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Theme="minorEastAsia"/>
          <w:i/>
          <w:iCs/>
        </w:rPr>
      </w:pPr>
      <w:r w:rsidRPr="002E63C1">
        <w:rPr>
          <w:rFonts w:eastAsiaTheme="minorEastAsia"/>
          <w:i/>
          <w:iCs/>
        </w:rPr>
        <w:t>I</w:t>
      </w:r>
      <w:r w:rsidR="69C7D4CC" w:rsidRPr="002E63C1">
        <w:rPr>
          <w:rFonts w:eastAsiaTheme="minorEastAsia"/>
          <w:i/>
          <w:iCs/>
        </w:rPr>
        <w:t>mplantar algún sistema de control para verificar</w:t>
      </w:r>
      <w:r w:rsidR="7DE3482D" w:rsidRPr="002E63C1">
        <w:rPr>
          <w:rFonts w:eastAsiaTheme="minorEastAsia"/>
          <w:i/>
          <w:iCs/>
        </w:rPr>
        <w:t xml:space="preserve"> el cumplimiento</w:t>
      </w:r>
      <w:r w:rsidR="770FAA0F" w:rsidRPr="002E63C1">
        <w:rPr>
          <w:rFonts w:eastAsiaTheme="minorEastAsia"/>
          <w:i/>
          <w:iCs/>
        </w:rPr>
        <w:t xml:space="preserve"> de la obligación</w:t>
      </w:r>
      <w:r w:rsidR="770FAA0F" w:rsidRPr="3896A6D9">
        <w:rPr>
          <w:rFonts w:eastAsiaTheme="minorEastAsia"/>
          <w:i/>
          <w:iCs/>
        </w:rPr>
        <w:t xml:space="preserve"> de residir</w:t>
      </w:r>
      <w:r w:rsidR="25DC373A" w:rsidRPr="3896A6D9">
        <w:rPr>
          <w:rFonts w:eastAsiaTheme="minorEastAsia"/>
          <w:i/>
          <w:iCs/>
        </w:rPr>
        <w:t xml:space="preserve"> de manera efectiva y continuada en Navarra</w:t>
      </w:r>
      <w:r w:rsidR="770FAA0F" w:rsidRPr="3896A6D9">
        <w:rPr>
          <w:rFonts w:eastAsiaTheme="minorEastAsia"/>
          <w:i/>
          <w:iCs/>
        </w:rPr>
        <w:t>.</w:t>
      </w:r>
      <w:r w:rsidR="00E558C5">
        <w:rPr>
          <w:rFonts w:eastAsiaTheme="minorEastAsia"/>
          <w:i/>
          <w:iCs/>
        </w:rPr>
        <w:t xml:space="preserve"> </w:t>
      </w:r>
    </w:p>
    <w:p w14:paraId="5FE6DEE3" w14:textId="3C344FCD" w:rsidR="00F60CE4" w:rsidRDefault="001E1859"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Theme="minorEastAsia"/>
          <w:i/>
          <w:iCs/>
        </w:rPr>
      </w:pPr>
      <w:r>
        <w:rPr>
          <w:rFonts w:eastAsiaTheme="minorEastAsia"/>
          <w:i/>
          <w:iCs/>
        </w:rPr>
        <w:t xml:space="preserve">Recoger de forma codificada en las bases de datos del </w:t>
      </w:r>
      <w:r>
        <w:rPr>
          <w:i/>
          <w:iCs/>
        </w:rPr>
        <w:t xml:space="preserve">Servicio de Activación Laboral y Coordinación Territorial la información referida a las personas que no realizan la </w:t>
      </w:r>
      <w:r w:rsidRPr="005E7BA1">
        <w:rPr>
          <w:i/>
          <w:iCs/>
        </w:rPr>
        <w:t>orientación</w:t>
      </w:r>
      <w:r w:rsidR="005E7BA1" w:rsidRPr="005E7BA1">
        <w:rPr>
          <w:i/>
          <w:szCs w:val="26"/>
        </w:rPr>
        <w:t>, formación y empleo propuestas</w:t>
      </w:r>
      <w:r w:rsidR="005E7BA1" w:rsidRPr="005E7BA1">
        <w:rPr>
          <w:i/>
          <w:iCs/>
        </w:rPr>
        <w:t xml:space="preserve"> </w:t>
      </w:r>
      <w:r w:rsidRPr="005E7BA1">
        <w:rPr>
          <w:i/>
          <w:iCs/>
        </w:rPr>
        <w:t>y</w:t>
      </w:r>
      <w:r>
        <w:rPr>
          <w:i/>
          <w:iCs/>
        </w:rPr>
        <w:t xml:space="preserve"> la causa</w:t>
      </w:r>
      <w:r>
        <w:rPr>
          <w:rStyle w:val="Refdenotaalpie"/>
          <w:i/>
          <w:iCs/>
        </w:rPr>
        <w:footnoteReference w:id="7"/>
      </w:r>
      <w:r w:rsidR="0020380B" w:rsidRPr="3896A6D9">
        <w:rPr>
          <w:rFonts w:eastAsiaTheme="minorEastAsia"/>
          <w:i/>
          <w:iCs/>
        </w:rPr>
        <w:t>.</w:t>
      </w:r>
    </w:p>
    <w:p w14:paraId="0F485A24" w14:textId="77777777" w:rsidR="0027110E" w:rsidRDefault="0027110E">
      <w:pPr>
        <w:spacing w:after="160" w:line="259" w:lineRule="auto"/>
        <w:rPr>
          <w:rFonts w:ascii="Arial" w:hAnsi="Arial"/>
          <w:b/>
          <w:color w:val="000000"/>
          <w:kern w:val="28"/>
          <w:sz w:val="25"/>
          <w:szCs w:val="26"/>
        </w:rPr>
      </w:pPr>
      <w:bookmarkStart w:id="11" w:name="_Toc178684642"/>
      <w:r>
        <w:br w:type="page"/>
      </w:r>
    </w:p>
    <w:p w14:paraId="69F58F16" w14:textId="4A666ABF" w:rsidR="00722A22" w:rsidRPr="00AE393A" w:rsidRDefault="00722A22" w:rsidP="00722A22">
      <w:pPr>
        <w:pStyle w:val="atitulo1"/>
        <w:jc w:val="both"/>
      </w:pPr>
      <w:bookmarkStart w:id="12" w:name="_Toc187821042"/>
      <w:r>
        <w:lastRenderedPageBreak/>
        <w:t>IV. Responsabilidad del Departamento de Derechos Sociales, Economía Social y Empleo</w:t>
      </w:r>
      <w:r w:rsidR="00731F69">
        <w:t xml:space="preserve"> y los Servicios Sociales de Base</w:t>
      </w:r>
      <w:bookmarkEnd w:id="12"/>
      <w:r w:rsidR="00832FE5">
        <w:t xml:space="preserve"> </w:t>
      </w:r>
    </w:p>
    <w:p w14:paraId="068872BC" w14:textId="77777777" w:rsidR="00801032" w:rsidRDefault="11B84575" w:rsidP="00FB5A71">
      <w:pPr>
        <w:pStyle w:val="texto"/>
        <w:spacing w:after="140"/>
        <w:jc w:val="both"/>
      </w:pPr>
      <w:r>
        <w:t>El Departamento de Derechos Soc</w:t>
      </w:r>
      <w:r w:rsidR="00E14C8C">
        <w:t xml:space="preserve">iales, Economía Social y Empleo </w:t>
      </w:r>
      <w:r>
        <w:t>es el responsable de ges</w:t>
      </w:r>
      <w:r w:rsidR="00E14C8C">
        <w:t>tionar la RG y el IMV. Los Servicios Sociales de Base</w:t>
      </w:r>
      <w:r w:rsidR="20919F85">
        <w:t>, dependientes de las entidades locales,</w:t>
      </w:r>
      <w:r w:rsidR="0027110E">
        <w:t xml:space="preserve"> </w:t>
      </w:r>
      <w:r w:rsidR="00E14C8C">
        <w:t>son los responsables de tramitar la</w:t>
      </w:r>
      <w:r w:rsidR="1CF61FF3">
        <w:t>s solicitudes de RG y participar</w:t>
      </w:r>
      <w:r w:rsidR="00E14C8C">
        <w:t xml:space="preserve"> en el procedimiento de </w:t>
      </w:r>
      <w:r w:rsidR="00E14C8C" w:rsidRPr="3896A6D9">
        <w:t>inclusión</w:t>
      </w:r>
      <w:r w:rsidR="00E14C8C">
        <w:t xml:space="preserve"> social de las personas solicitantes en los términos establecidos en la normativa.</w:t>
      </w:r>
      <w:r w:rsidR="00832FE5">
        <w:t xml:space="preserve"> </w:t>
      </w:r>
    </w:p>
    <w:p w14:paraId="5A647E27" w14:textId="52A0F3FF" w:rsidR="00325EC2" w:rsidRPr="00AD6085" w:rsidRDefault="350CCEE2" w:rsidP="00FB5A71">
      <w:pPr>
        <w:pStyle w:val="texto"/>
        <w:spacing w:after="140"/>
        <w:jc w:val="both"/>
      </w:pPr>
      <w:r>
        <w:t xml:space="preserve">Los órganos de gobierno y dirección </w:t>
      </w:r>
      <w:r w:rsidR="00E14C8C">
        <w:t>del departamento citado</w:t>
      </w:r>
      <w:r w:rsidR="35CFEFC3">
        <w:t xml:space="preserve"> </w:t>
      </w:r>
      <w:r w:rsidR="00801032">
        <w:t xml:space="preserve">y de la administración pública correspondiente </w:t>
      </w:r>
      <w:r w:rsidR="35CFEFC3">
        <w:t>debe</w:t>
      </w:r>
      <w:r>
        <w:t xml:space="preserve">n garantizar que las actividades, operaciones presupuestarias y financieras y la información </w:t>
      </w:r>
      <w:r w:rsidRPr="00A215EC">
        <w:rPr>
          <w:lang w:val="es-ES_tradnl"/>
        </w:rPr>
        <w:t>reflejada</w:t>
      </w:r>
      <w:r>
        <w:t xml:space="preserve"> en </w:t>
      </w:r>
      <w:r w:rsidR="47C75EEB">
        <w:t>las partidas presupuestarias relacionadas con la gestión analizada</w:t>
      </w:r>
      <w:r>
        <w:t xml:space="preserve"> resultan conformes con la normativa aplicable. Asimismo, son responsables de</w:t>
      </w:r>
      <w:r w:rsidR="35CFEFC3">
        <w:t xml:space="preserve"> establecer los </w:t>
      </w:r>
      <w:r>
        <w:t>sistemas de control interno que consideren necesarios para garantizar que la actividad realizada esté libre de incumplimientos legales</w:t>
      </w:r>
      <w:r w:rsidR="35CFEFC3">
        <w:t>.</w:t>
      </w:r>
    </w:p>
    <w:p w14:paraId="0562CB0E" w14:textId="77777777" w:rsidR="00731F69" w:rsidRDefault="00731F69">
      <w:pPr>
        <w:spacing w:after="160" w:line="259" w:lineRule="auto"/>
        <w:rPr>
          <w:rFonts w:ascii="Arial" w:hAnsi="Arial"/>
          <w:b/>
          <w:color w:val="000000"/>
          <w:kern w:val="28"/>
          <w:sz w:val="25"/>
          <w:szCs w:val="26"/>
        </w:rPr>
      </w:pPr>
      <w:r>
        <w:br w:type="page"/>
      </w:r>
    </w:p>
    <w:p w14:paraId="5C3322CB" w14:textId="77777777" w:rsidR="00722A22" w:rsidRPr="00AE393A" w:rsidRDefault="00722A22" w:rsidP="00722A22">
      <w:pPr>
        <w:pStyle w:val="atitulo1"/>
        <w:jc w:val="both"/>
      </w:pPr>
      <w:bookmarkStart w:id="13" w:name="_Toc187821043"/>
      <w:r>
        <w:lastRenderedPageBreak/>
        <w:t>V. Responsabilidad de la Cámara de Comptos</w:t>
      </w:r>
      <w:bookmarkEnd w:id="13"/>
    </w:p>
    <w:p w14:paraId="0B681C2D" w14:textId="77777777" w:rsidR="00CA2D6F" w:rsidRPr="007428C2" w:rsidRDefault="00CA2D6F" w:rsidP="00A215EC">
      <w:pPr>
        <w:pStyle w:val="texto"/>
        <w:spacing w:after="140"/>
        <w:jc w:val="both"/>
      </w:pPr>
      <w:r w:rsidRPr="007428C2">
        <w:t xml:space="preserve">Nuestra responsabilidad es expresar unas conclusiones basadas en nuestra fiscalización sobre la </w:t>
      </w:r>
      <w:r w:rsidRPr="00A215EC">
        <w:rPr>
          <w:lang w:val="es-ES_tradnl"/>
        </w:rPr>
        <w:t>gestión</w:t>
      </w:r>
      <w:r>
        <w:t xml:space="preserve"> de determinados aspectos relacionados con la RG y el IMV</w:t>
      </w:r>
      <w:r w:rsidR="001979E0">
        <w:t xml:space="preserve"> según lo especificado en el epígrafe II de este informe</w:t>
      </w:r>
      <w:r w:rsidRPr="007428C2">
        <w:t xml:space="preserve">. </w:t>
      </w:r>
    </w:p>
    <w:p w14:paraId="3D743370" w14:textId="0DD8B5E4" w:rsidR="00CA2D6F" w:rsidRDefault="3512F188" w:rsidP="00CA2D6F">
      <w:pPr>
        <w:pStyle w:val="texto"/>
        <w:spacing w:after="140"/>
        <w:jc w:val="both"/>
      </w:pPr>
      <w:r>
        <w:t xml:space="preserve">Para ello, hemos llevado a cabo la </w:t>
      </w:r>
      <w:r w:rsidR="3A07D0CF">
        <w:t>fiscalización</w:t>
      </w:r>
      <w:r>
        <w:t xml:space="preserve"> de conformidad con los principios generales de </w:t>
      </w:r>
      <w:r w:rsidRPr="3896A6D9">
        <w:t>fiscalización</w:t>
      </w:r>
      <w:r>
        <w:t xml:space="preserve"> de las Instituciones Públicas de Control Externo, establecidos en las ISSAI-ES, aplicándose fundamentalmente la ISSAI-ES </w:t>
      </w:r>
      <w:r w:rsidR="11B84575" w:rsidRPr="3896A6D9">
        <w:rPr>
          <w:rStyle w:val="normaltextrun"/>
          <w:rFonts w:eastAsia="Calibri"/>
        </w:rPr>
        <w:t>400 “Principios fundamentales de la fiscalización de cumplimiento de legalidad”, la ISSAI-ES 300 “Principios fundamentales de la auditoría operativa” y la GPF-OCEX 1735 “Las recomendaciones y su seguimiento”</w:t>
      </w:r>
      <w:r>
        <w:t xml:space="preserve">. Dichos principios y directrices exigen que cumplamos los requerimientos de ética, así como que planifiquemos y ejecutemos la fiscalización con el fin de obtener una seguridad razonable de que la gestión </w:t>
      </w:r>
      <w:r w:rsidR="11B84575">
        <w:t>analizada</w:t>
      </w:r>
      <w:r>
        <w:t xml:space="preserve"> resulte, en todos los aspectos significativos, conforme con la normativa vigente. </w:t>
      </w:r>
    </w:p>
    <w:p w14:paraId="50B63F56" w14:textId="77777777" w:rsidR="00CA2D6F" w:rsidRPr="007428C2" w:rsidRDefault="00CA2D6F" w:rsidP="00CA2D6F">
      <w:pPr>
        <w:pStyle w:val="texto"/>
        <w:spacing w:after="140"/>
        <w:jc w:val="both"/>
      </w:pPr>
      <w:r w:rsidRPr="007428C2">
        <w:t xml:space="preserve">Una fiscalización requiere la aplicación de procedimientos para obtener evidencia de auditoría que fundamente las conclusiones obtenidas. </w:t>
      </w:r>
    </w:p>
    <w:p w14:paraId="7F6545C9" w14:textId="06F09DDF" w:rsidR="00CA2D6F" w:rsidRDefault="00CA2D6F" w:rsidP="00CA2D6F">
      <w:pPr>
        <w:pStyle w:val="texto"/>
        <w:spacing w:after="140"/>
        <w:jc w:val="both"/>
      </w:pPr>
      <w:r>
        <w:t>Consideramos que la evidencia de auditoría que hemos obtenido proporciona una base suficiente y adecuada para fundamentar las conclusiones alcanzadas</w:t>
      </w:r>
      <w:r w:rsidR="001979E0">
        <w:t xml:space="preserve">, </w:t>
      </w:r>
      <w:r w:rsidR="00E97992">
        <w:t xml:space="preserve">excepto en las </w:t>
      </w:r>
      <w:r w:rsidR="00E97992" w:rsidRPr="3896A6D9">
        <w:t>cuestiones</w:t>
      </w:r>
      <w:r w:rsidR="00E97992">
        <w:t xml:space="preserve"> detalladas </w:t>
      </w:r>
      <w:r w:rsidR="001979E0">
        <w:t xml:space="preserve">en </w:t>
      </w:r>
      <w:r w:rsidR="008B51E9">
        <w:t>el</w:t>
      </w:r>
      <w:r w:rsidR="4A151AC2">
        <w:t xml:space="preserve"> epígrafe III.1. en el que analizamos </w:t>
      </w:r>
      <w:r w:rsidR="0027110E">
        <w:t>el cumplimiento</w:t>
      </w:r>
      <w:r w:rsidR="008B51E9">
        <w:t xml:space="preserve"> de las obligaciones de las unidades familiares perceptoras</w:t>
      </w:r>
      <w:r w:rsidR="0022005B">
        <w:t xml:space="preserve"> y de las administraciones públicas y SSB</w:t>
      </w:r>
      <w:r w:rsidR="008B51E9">
        <w:t xml:space="preserve"> y en </w:t>
      </w:r>
      <w:r w:rsidR="1988B760">
        <w:t xml:space="preserve">el epígrafe III.3. sobre </w:t>
      </w:r>
      <w:r w:rsidR="008B51E9">
        <w:t>la revisión de la gestión conjunta de la RG e IMV</w:t>
      </w:r>
      <w:r w:rsidR="001979E0">
        <w:t xml:space="preserve"> que nos impiden </w:t>
      </w:r>
      <w:r w:rsidR="008B51E9">
        <w:t>alcanzar</w:t>
      </w:r>
      <w:r w:rsidR="001979E0">
        <w:t xml:space="preserve"> una conclusión al respecto</w:t>
      </w:r>
      <w:r>
        <w:t>.</w:t>
      </w:r>
    </w:p>
    <w:p w14:paraId="71015F64" w14:textId="77777777" w:rsidR="000E7555" w:rsidRDefault="000E7555" w:rsidP="000E7555">
      <w:pPr>
        <w:pStyle w:val="texto"/>
        <w:spacing w:after="140"/>
        <w:jc w:val="both"/>
      </w:pPr>
      <w:r w:rsidRPr="00BB60F4">
        <w:t>Informe que se emite a propuesta de la auditora Karen Moreno Orduña, responsable de la realización de este trabajo, una vez cumplimentados los trámites previstos por la normativa vigente.</w:t>
      </w:r>
    </w:p>
    <w:p w14:paraId="23CDCDDF" w14:textId="7353C75F" w:rsidR="000D672B" w:rsidRDefault="000D672B" w:rsidP="000E7555">
      <w:pPr>
        <w:pStyle w:val="texto"/>
        <w:spacing w:after="140"/>
        <w:jc w:val="both"/>
      </w:pPr>
      <w:r>
        <w:t>Pamplona, 15 de enero de 2025</w:t>
      </w:r>
    </w:p>
    <w:p w14:paraId="5C17E6B6" w14:textId="34711317" w:rsidR="000D672B" w:rsidRPr="00BB60F4" w:rsidRDefault="000D672B" w:rsidP="000E7555">
      <w:pPr>
        <w:pStyle w:val="texto"/>
        <w:spacing w:after="140"/>
        <w:jc w:val="both"/>
      </w:pPr>
      <w:r>
        <w:t>El presidente de la Cámara de Comptos: Ignacio Cabeza del Salvador</w:t>
      </w:r>
    </w:p>
    <w:p w14:paraId="2B9A14DC" w14:textId="103481C2" w:rsidR="000E7555" w:rsidRPr="00D93D93" w:rsidRDefault="000E7555" w:rsidP="000E7555">
      <w:pPr>
        <w:jc w:val="center"/>
        <w:rPr>
          <w:spacing w:val="6"/>
          <w:sz w:val="26"/>
          <w:szCs w:val="26"/>
        </w:rPr>
      </w:pPr>
      <w:r w:rsidRPr="00702FE8">
        <w:rPr>
          <w:i/>
        </w:rPr>
        <w:t>)</w:t>
      </w:r>
      <w:r w:rsidRPr="003368DB">
        <w:rPr>
          <w:sz w:val="26"/>
          <w:szCs w:val="26"/>
        </w:rPr>
        <w:br w:type="page"/>
      </w:r>
    </w:p>
    <w:p w14:paraId="1FBB0B0E" w14:textId="3F81BD81" w:rsidR="00722A22" w:rsidRDefault="00FE1F21" w:rsidP="00722A22">
      <w:pPr>
        <w:pStyle w:val="atitulo1"/>
        <w:jc w:val="both"/>
      </w:pPr>
      <w:bookmarkStart w:id="14" w:name="_Toc187821044"/>
      <w:r>
        <w:lastRenderedPageBreak/>
        <w:t>Apéndice 1.</w:t>
      </w:r>
      <w:r w:rsidR="00722A22">
        <w:t xml:space="preserve"> M</w:t>
      </w:r>
      <w:r w:rsidR="0027110E">
        <w:t xml:space="preserve">arco </w:t>
      </w:r>
      <w:r w:rsidR="00722A22">
        <w:t>regulador</w:t>
      </w:r>
      <w:bookmarkEnd w:id="14"/>
    </w:p>
    <w:p w14:paraId="0369ACE0" w14:textId="77777777" w:rsidR="001B4139" w:rsidRPr="00B07A5F" w:rsidRDefault="001B4139" w:rsidP="00B07A5F">
      <w:pPr>
        <w:pStyle w:val="atitulo3"/>
      </w:pPr>
      <w:r w:rsidRPr="00B07A5F">
        <w:t>Normativa estatal</w:t>
      </w:r>
    </w:p>
    <w:p w14:paraId="7A91FDA4" w14:textId="77777777" w:rsidR="00942474" w:rsidRDefault="00942474"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szCs w:val="26"/>
        </w:rPr>
      </w:pPr>
      <w:r>
        <w:rPr>
          <w:szCs w:val="26"/>
        </w:rPr>
        <w:t xml:space="preserve">Real </w:t>
      </w:r>
      <w:r w:rsidRPr="003D790D">
        <w:rPr>
          <w:szCs w:val="26"/>
          <w:lang w:val="es-ES_tradnl" w:eastAsia="en-US"/>
        </w:rPr>
        <w:t>Decreto</w:t>
      </w:r>
      <w:r>
        <w:rPr>
          <w:szCs w:val="26"/>
        </w:rPr>
        <w:t xml:space="preserve"> Legislativo 8/2015, de 30 de octubre, por el que se aprueba el texto refundido de la Ley General de la Seguridad Social. </w:t>
      </w:r>
    </w:p>
    <w:p w14:paraId="22A8A388" w14:textId="605FA1BD" w:rsidR="001B4139" w:rsidRPr="00074BC5" w:rsidRDefault="00942474"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bCs/>
          <w:color w:val="000000"/>
          <w:kern w:val="28"/>
        </w:rPr>
      </w:pPr>
      <w:r>
        <w:t>Ley 19/</w:t>
      </w:r>
      <w:r w:rsidRPr="3896A6D9">
        <w:rPr>
          <w:lang w:eastAsia="en-US"/>
        </w:rPr>
        <w:t>2021</w:t>
      </w:r>
      <w:r>
        <w:t xml:space="preserve">, de 20 de diciembre, por la que se establece el ingreso mínimo vital. </w:t>
      </w:r>
    </w:p>
    <w:p w14:paraId="792D8C02" w14:textId="07C98C76" w:rsidR="47ABC376" w:rsidRDefault="47ABC376" w:rsidP="3896A6D9">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pPr>
      <w:r w:rsidRPr="3896A6D9">
        <w:t>Orden TER/310/2022, de 6 de abril, por la que se publica el Acuerdo de la Junta de Transferencias Administración del Estado-Comunidad Foral de Navarra, de 31 de marzo de 2022, de asunción por la Comunidad Foral de Navarra de la gestión de la prestación no contributiva del ingreso mínimo vital.</w:t>
      </w:r>
    </w:p>
    <w:p w14:paraId="4FCCAA19" w14:textId="0AD2D7EF" w:rsidR="00074BC5" w:rsidRPr="001B4139" w:rsidRDefault="00074BC5"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color w:val="000000"/>
          <w:kern w:val="28"/>
        </w:rPr>
      </w:pPr>
      <w:r>
        <w:rPr>
          <w:szCs w:val="26"/>
        </w:rPr>
        <w:t>Ley 3/</w:t>
      </w:r>
      <w:r w:rsidRPr="003D790D">
        <w:rPr>
          <w:szCs w:val="26"/>
          <w:lang w:val="es-ES_tradnl" w:eastAsia="en-US"/>
        </w:rPr>
        <w:t>2023</w:t>
      </w:r>
      <w:r>
        <w:rPr>
          <w:szCs w:val="26"/>
        </w:rPr>
        <w:t xml:space="preserve">, de 28 de febrero, de Empleo. </w:t>
      </w:r>
    </w:p>
    <w:p w14:paraId="24EA0469" w14:textId="77777777" w:rsidR="001B4139" w:rsidRPr="003D790D" w:rsidRDefault="001B4139" w:rsidP="003D790D">
      <w:pPr>
        <w:pStyle w:val="atitulo3"/>
        <w:spacing w:before="240"/>
      </w:pPr>
      <w:r>
        <w:t>Normativa foral</w:t>
      </w:r>
    </w:p>
    <w:p w14:paraId="5EF53F3D" w14:textId="77777777" w:rsidR="00735526" w:rsidRPr="001B4139" w:rsidRDefault="0073552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color w:val="000000"/>
          <w:kern w:val="28"/>
        </w:rPr>
      </w:pPr>
      <w:r w:rsidRPr="001B4139">
        <w:rPr>
          <w:szCs w:val="26"/>
        </w:rPr>
        <w:t xml:space="preserve">Ley Foral 15/2016, de 11 de noviembre, por la que se regulan los derechos a Inclusión </w:t>
      </w:r>
      <w:r w:rsidRPr="003D790D">
        <w:rPr>
          <w:szCs w:val="26"/>
          <w:lang w:val="es-ES_tradnl" w:eastAsia="en-US"/>
        </w:rPr>
        <w:t>Social</w:t>
      </w:r>
      <w:r w:rsidRPr="001B4139">
        <w:rPr>
          <w:szCs w:val="26"/>
        </w:rPr>
        <w:t xml:space="preserve"> y a la Renta Garantizada.</w:t>
      </w:r>
    </w:p>
    <w:p w14:paraId="31B5A638" w14:textId="77777777" w:rsidR="00735526" w:rsidRPr="00735526" w:rsidRDefault="0073552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color w:val="000000"/>
          <w:kern w:val="28"/>
        </w:rPr>
      </w:pPr>
      <w:r>
        <w:rPr>
          <w:szCs w:val="26"/>
        </w:rPr>
        <w:t xml:space="preserve">Decreto Foral 26/2018, de 25 de abril, de desarrollo de los derechos a la Inclusión </w:t>
      </w:r>
      <w:r w:rsidRPr="003D790D">
        <w:rPr>
          <w:szCs w:val="26"/>
          <w:lang w:val="es-ES_tradnl" w:eastAsia="en-US"/>
        </w:rPr>
        <w:t>Social</w:t>
      </w:r>
      <w:r>
        <w:rPr>
          <w:szCs w:val="26"/>
        </w:rPr>
        <w:t xml:space="preserve"> y a la Renta Garantizada.</w:t>
      </w:r>
    </w:p>
    <w:p w14:paraId="3BBDC156" w14:textId="77777777" w:rsidR="00735526" w:rsidRPr="00735526" w:rsidRDefault="0073552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color w:val="000000"/>
          <w:kern w:val="28"/>
        </w:rPr>
      </w:pPr>
      <w:r>
        <w:rPr>
          <w:szCs w:val="26"/>
        </w:rPr>
        <w:t xml:space="preserve">Orden </w:t>
      </w:r>
      <w:r w:rsidRPr="003D790D">
        <w:rPr>
          <w:szCs w:val="26"/>
          <w:lang w:val="es-ES_tradnl" w:eastAsia="en-US"/>
        </w:rPr>
        <w:t>Foral</w:t>
      </w:r>
      <w:r>
        <w:rPr>
          <w:szCs w:val="26"/>
        </w:rPr>
        <w:t xml:space="preserve"> 10/2019, de 16 de enero, del consejero de Derechos Sociales, por la que se actualiza la cuantía de Renta Garantizada para el año 2019.</w:t>
      </w:r>
    </w:p>
    <w:p w14:paraId="2C827D56" w14:textId="77777777" w:rsidR="00735526" w:rsidRPr="00735526" w:rsidRDefault="0073552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color w:val="000000"/>
          <w:kern w:val="28"/>
        </w:rPr>
      </w:pPr>
      <w:r>
        <w:rPr>
          <w:szCs w:val="26"/>
        </w:rPr>
        <w:t xml:space="preserve">Orden </w:t>
      </w:r>
      <w:r w:rsidRPr="003D790D">
        <w:rPr>
          <w:szCs w:val="26"/>
          <w:lang w:val="es-ES_tradnl" w:eastAsia="en-US"/>
        </w:rPr>
        <w:t>Foral</w:t>
      </w:r>
      <w:r>
        <w:rPr>
          <w:szCs w:val="26"/>
        </w:rPr>
        <w:t xml:space="preserve"> 94/2020, de 24 de febrero, de la consejera de Derechos Sociales, por la que se actualiza la cuantía de Renta Garantizada para el año 2020.</w:t>
      </w:r>
    </w:p>
    <w:p w14:paraId="1F60DB4B" w14:textId="77777777" w:rsidR="00735526" w:rsidRPr="00735526" w:rsidRDefault="0073552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color w:val="000000"/>
          <w:kern w:val="28"/>
        </w:rPr>
      </w:pPr>
      <w:r>
        <w:rPr>
          <w:szCs w:val="26"/>
        </w:rPr>
        <w:t>Orden Foral 49/2021, de 24 de febrero, de la consejera de Derechos Sociales, por la que se actualiza la cuantía de Renta Garantizada para el año 2021.</w:t>
      </w:r>
    </w:p>
    <w:p w14:paraId="2266E754" w14:textId="77777777" w:rsidR="00735526" w:rsidRPr="00735526" w:rsidRDefault="0073552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color w:val="000000"/>
          <w:kern w:val="28"/>
        </w:rPr>
      </w:pPr>
      <w:r>
        <w:rPr>
          <w:szCs w:val="26"/>
        </w:rPr>
        <w:t>Orden Foral 10/2022, de 19 de enero, de la consejera de Derechos Sociales, por la que se actualiza la cuantía de Renta Garantizada para el año 202</w:t>
      </w:r>
      <w:r w:rsidR="00942474">
        <w:rPr>
          <w:szCs w:val="26"/>
        </w:rPr>
        <w:t>2</w:t>
      </w:r>
      <w:r>
        <w:rPr>
          <w:szCs w:val="26"/>
        </w:rPr>
        <w:t>.</w:t>
      </w:r>
    </w:p>
    <w:p w14:paraId="35DEED1B" w14:textId="05B278DD" w:rsidR="00735526" w:rsidRPr="00DD3098" w:rsidRDefault="27AF7406" w:rsidP="003D790D">
      <w:pPr>
        <w:pStyle w:val="texto"/>
        <w:numPr>
          <w:ilvl w:val="0"/>
          <w:numId w:val="4"/>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bCs/>
          <w:color w:val="000000"/>
          <w:kern w:val="28"/>
        </w:rPr>
      </w:pPr>
      <w:r>
        <w:t>Orden Foral 69/2023, de 22 de febrero, de la Consejera de Derechos Sociales, por la que se actualiza la cuantía de la Renta Garantizada para el año 2023.</w:t>
      </w:r>
    </w:p>
    <w:p w14:paraId="3F5659E4" w14:textId="0A04738F" w:rsidR="5D8B6717" w:rsidRDefault="5D8B6717" w:rsidP="00E94F74">
      <w:pPr>
        <w:pStyle w:val="texto"/>
        <w:tabs>
          <w:tab w:val="clear" w:pos="2835"/>
          <w:tab w:val="clear" w:pos="3969"/>
          <w:tab w:val="clear" w:pos="5103"/>
          <w:tab w:val="clear" w:pos="6237"/>
          <w:tab w:val="clear" w:pos="7371"/>
        </w:tabs>
        <w:spacing w:after="140"/>
        <w:ind w:left="284"/>
        <w:jc w:val="both"/>
        <w:rPr>
          <w:rFonts w:ascii="GillSans" w:hAnsi="GillSans"/>
          <w:b/>
          <w:bCs/>
          <w:color w:val="000000" w:themeColor="text1"/>
        </w:rPr>
      </w:pPr>
    </w:p>
    <w:p w14:paraId="6D98A12B" w14:textId="77777777" w:rsidR="00FE1F21" w:rsidRDefault="00FE1F21">
      <w:pPr>
        <w:spacing w:after="160" w:line="259" w:lineRule="auto"/>
        <w:rPr>
          <w:spacing w:val="6"/>
          <w:sz w:val="26"/>
          <w:szCs w:val="26"/>
        </w:rPr>
      </w:pPr>
      <w:r>
        <w:rPr>
          <w:szCs w:val="26"/>
        </w:rPr>
        <w:br w:type="page"/>
      </w:r>
    </w:p>
    <w:p w14:paraId="53D0599F" w14:textId="77777777" w:rsidR="00FE1F21" w:rsidRDefault="00FE1F21" w:rsidP="00C31EE3">
      <w:pPr>
        <w:pStyle w:val="atitulo1"/>
        <w:spacing w:before="100" w:beforeAutospacing="1" w:after="120"/>
        <w:jc w:val="both"/>
      </w:pPr>
      <w:bookmarkStart w:id="15" w:name="_Toc187821045"/>
      <w:r w:rsidRPr="00722A22">
        <w:lastRenderedPageBreak/>
        <w:t xml:space="preserve">Apéndice </w:t>
      </w:r>
      <w:r>
        <w:t>2</w:t>
      </w:r>
      <w:r w:rsidRPr="00722A22">
        <w:t xml:space="preserve">. </w:t>
      </w:r>
      <w:r>
        <w:t>Observaciones y hallazgos adicionales de la fiscalización</w:t>
      </w:r>
      <w:bookmarkEnd w:id="15"/>
      <w:r>
        <w:t xml:space="preserve"> </w:t>
      </w:r>
    </w:p>
    <w:p w14:paraId="4A1557F1" w14:textId="053AD5AF" w:rsidR="00FE1F21" w:rsidRPr="00A215EC" w:rsidRDefault="62A9032F" w:rsidP="3896A6D9">
      <w:pPr>
        <w:pStyle w:val="texto"/>
        <w:spacing w:after="140"/>
        <w:jc w:val="both"/>
      </w:pPr>
      <w:r>
        <w:t xml:space="preserve">España se encuentra entre los países de la Unión Europea con una distribución de la </w:t>
      </w:r>
      <w:r w:rsidRPr="3896A6D9">
        <w:t xml:space="preserve">renta más desigual entre </w:t>
      </w:r>
      <w:r w:rsidR="02F9A09F" w:rsidRPr="3896A6D9">
        <w:t xml:space="preserve">los </w:t>
      </w:r>
      <w:r w:rsidRPr="3896A6D9">
        <w:t>hogares. Esta desigualdad se acentúa entre las rentas más bajas</w:t>
      </w:r>
      <w:r w:rsidR="005F087F">
        <w:t>,</w:t>
      </w:r>
      <w:r w:rsidRPr="3896A6D9">
        <w:t xml:space="preserve"> existiendo unas tasas de pobreza extrema particularmente altas. </w:t>
      </w:r>
    </w:p>
    <w:p w14:paraId="0381EE9F" w14:textId="25A8C656" w:rsidR="00CC1E0C" w:rsidRDefault="62A9032F" w:rsidP="00297CB2">
      <w:pPr>
        <w:pStyle w:val="texto"/>
        <w:spacing w:after="240"/>
        <w:jc w:val="both"/>
      </w:pPr>
      <w:r w:rsidRPr="3896A6D9">
        <w:t>La Red Europea de Lucha contra la Pobreza y la Exclusión Social en el Estado Español presenta</w:t>
      </w:r>
      <w:r w:rsidRPr="5D8B6717">
        <w:t xml:space="preserve"> un informe anual sobre el estado de la pobreza que realiza un seguimiento y una evaluación de los indicadores de pobreza y exclusión social en España y sus comunidades autónomas. </w:t>
      </w:r>
      <w:r w:rsidR="6C6E6810" w:rsidRPr="5D8B6717">
        <w:t>Esta red publicó en octubre de 2024 su informe analizando la evolución de los datos desde 2008 hasta 2023</w:t>
      </w:r>
      <w:r w:rsidR="00CC1E0C" w:rsidRPr="5D8B6717">
        <w:rPr>
          <w:rStyle w:val="Refdenotaalpie"/>
        </w:rPr>
        <w:footnoteReference w:id="8"/>
      </w:r>
      <w:r w:rsidR="6C6E6810" w:rsidRPr="5D8B6717">
        <w:t>. Algunos de sus datos más relevantes son los siguientes:</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1652"/>
        <w:gridCol w:w="2221"/>
        <w:gridCol w:w="1229"/>
        <w:gridCol w:w="1229"/>
        <w:gridCol w:w="1229"/>
        <w:gridCol w:w="1229"/>
      </w:tblGrid>
      <w:tr w:rsidR="004F5A39" w:rsidRPr="004937DD" w14:paraId="713A8564" w14:textId="77777777" w:rsidTr="00BC2A9C">
        <w:trPr>
          <w:trHeight w:val="255"/>
        </w:trPr>
        <w:tc>
          <w:tcPr>
            <w:tcW w:w="1652" w:type="dxa"/>
            <w:vMerge w:val="restart"/>
            <w:shd w:val="clear" w:color="auto" w:fill="9CC2E5" w:themeFill="accent1" w:themeFillTint="99"/>
            <w:vAlign w:val="center"/>
          </w:tcPr>
          <w:p w14:paraId="38B3F6B7" w14:textId="1168C95A" w:rsidR="004F5A39" w:rsidRPr="004937DD" w:rsidRDefault="004F5A39" w:rsidP="004937DD">
            <w:pPr>
              <w:pStyle w:val="texto"/>
              <w:ind w:firstLine="0"/>
              <w:rPr>
                <w:rFonts w:ascii="Arial" w:hAnsi="Arial" w:cs="Arial"/>
                <w:sz w:val="18"/>
                <w:szCs w:val="18"/>
              </w:rPr>
            </w:pPr>
            <w:r w:rsidRPr="004937DD">
              <w:rPr>
                <w:rFonts w:ascii="Arial" w:hAnsi="Arial" w:cs="Arial"/>
                <w:sz w:val="18"/>
                <w:szCs w:val="18"/>
              </w:rPr>
              <w:t>Indicador</w:t>
            </w:r>
          </w:p>
        </w:tc>
        <w:tc>
          <w:tcPr>
            <w:tcW w:w="2221" w:type="dxa"/>
            <w:vMerge w:val="restart"/>
            <w:shd w:val="clear" w:color="auto" w:fill="9CC2E5" w:themeFill="accent1" w:themeFillTint="99"/>
            <w:vAlign w:val="center"/>
          </w:tcPr>
          <w:p w14:paraId="6B0C8DD7" w14:textId="47974FAF" w:rsidR="004F5A39" w:rsidRPr="004937DD" w:rsidRDefault="004F5A39" w:rsidP="004937DD">
            <w:pPr>
              <w:pStyle w:val="texto"/>
              <w:ind w:firstLine="0"/>
              <w:rPr>
                <w:rFonts w:ascii="Arial" w:hAnsi="Arial" w:cs="Arial"/>
                <w:sz w:val="18"/>
                <w:szCs w:val="18"/>
              </w:rPr>
            </w:pPr>
            <w:r w:rsidRPr="004937DD">
              <w:rPr>
                <w:rFonts w:ascii="Arial" w:hAnsi="Arial" w:cs="Arial"/>
                <w:sz w:val="18"/>
                <w:szCs w:val="18"/>
              </w:rPr>
              <w:t>Definición</w:t>
            </w:r>
          </w:p>
        </w:tc>
        <w:tc>
          <w:tcPr>
            <w:tcW w:w="2458" w:type="dxa"/>
            <w:gridSpan w:val="2"/>
            <w:tcBorders>
              <w:right w:val="single" w:sz="2" w:space="0" w:color="auto"/>
            </w:tcBorders>
            <w:shd w:val="clear" w:color="auto" w:fill="9CC2E5" w:themeFill="accent1" w:themeFillTint="99"/>
            <w:vAlign w:val="center"/>
          </w:tcPr>
          <w:p w14:paraId="30BC0435" w14:textId="6964953C" w:rsidR="004F5A39" w:rsidRPr="004937DD" w:rsidRDefault="004F5A39" w:rsidP="004937DD">
            <w:pPr>
              <w:pStyle w:val="texto"/>
              <w:ind w:firstLine="0"/>
              <w:jc w:val="center"/>
              <w:rPr>
                <w:rFonts w:ascii="Arial" w:hAnsi="Arial" w:cs="Arial"/>
                <w:sz w:val="18"/>
                <w:szCs w:val="18"/>
              </w:rPr>
            </w:pPr>
            <w:r w:rsidRPr="004937DD">
              <w:rPr>
                <w:rFonts w:ascii="Arial" w:hAnsi="Arial" w:cs="Arial"/>
                <w:sz w:val="18"/>
                <w:szCs w:val="18"/>
              </w:rPr>
              <w:t>2008</w:t>
            </w:r>
          </w:p>
        </w:tc>
        <w:tc>
          <w:tcPr>
            <w:tcW w:w="2458" w:type="dxa"/>
            <w:gridSpan w:val="2"/>
            <w:tcBorders>
              <w:left w:val="single" w:sz="2" w:space="0" w:color="auto"/>
            </w:tcBorders>
            <w:shd w:val="clear" w:color="auto" w:fill="9CC2E5" w:themeFill="accent1" w:themeFillTint="99"/>
            <w:vAlign w:val="center"/>
          </w:tcPr>
          <w:p w14:paraId="1713E4BB" w14:textId="74A3F82C" w:rsidR="004F5A39" w:rsidRPr="004937DD" w:rsidRDefault="004F5A39" w:rsidP="004937DD">
            <w:pPr>
              <w:pStyle w:val="texto"/>
              <w:ind w:firstLine="0"/>
              <w:jc w:val="center"/>
              <w:rPr>
                <w:rFonts w:ascii="Arial" w:hAnsi="Arial" w:cs="Arial"/>
                <w:sz w:val="18"/>
                <w:szCs w:val="18"/>
              </w:rPr>
            </w:pPr>
            <w:r w:rsidRPr="004937DD">
              <w:rPr>
                <w:rFonts w:ascii="Arial" w:hAnsi="Arial" w:cs="Arial"/>
                <w:sz w:val="18"/>
                <w:szCs w:val="18"/>
              </w:rPr>
              <w:t>2023</w:t>
            </w:r>
          </w:p>
        </w:tc>
      </w:tr>
      <w:tr w:rsidR="004F5A39" w:rsidRPr="004937DD" w14:paraId="6E7F2900" w14:textId="77777777" w:rsidTr="00BC2A9C">
        <w:trPr>
          <w:trHeight w:val="255"/>
        </w:trPr>
        <w:tc>
          <w:tcPr>
            <w:tcW w:w="1652" w:type="dxa"/>
            <w:vMerge/>
          </w:tcPr>
          <w:p w14:paraId="201E3B39" w14:textId="1AD2508C" w:rsidR="004F5A39" w:rsidRPr="004937DD" w:rsidRDefault="004F5A39" w:rsidP="004937DD">
            <w:pPr>
              <w:pStyle w:val="texto"/>
              <w:ind w:firstLine="0"/>
              <w:jc w:val="both"/>
              <w:rPr>
                <w:rFonts w:ascii="Arial" w:hAnsi="Arial" w:cs="Arial"/>
                <w:sz w:val="18"/>
                <w:szCs w:val="18"/>
              </w:rPr>
            </w:pPr>
          </w:p>
        </w:tc>
        <w:tc>
          <w:tcPr>
            <w:tcW w:w="2221" w:type="dxa"/>
            <w:vMerge/>
          </w:tcPr>
          <w:p w14:paraId="42D2BA4C" w14:textId="679B3042" w:rsidR="004F5A39" w:rsidRPr="004937DD" w:rsidRDefault="004F5A39" w:rsidP="004937DD">
            <w:pPr>
              <w:pStyle w:val="texto"/>
              <w:ind w:firstLine="0"/>
              <w:jc w:val="both"/>
              <w:rPr>
                <w:rFonts w:ascii="Arial" w:hAnsi="Arial" w:cs="Arial"/>
                <w:sz w:val="18"/>
                <w:szCs w:val="18"/>
              </w:rPr>
            </w:pPr>
          </w:p>
        </w:tc>
        <w:tc>
          <w:tcPr>
            <w:tcW w:w="1229" w:type="dxa"/>
            <w:shd w:val="clear" w:color="auto" w:fill="9CC2E5" w:themeFill="accent1" w:themeFillTint="99"/>
            <w:vAlign w:val="center"/>
          </w:tcPr>
          <w:p w14:paraId="2941BF1E" w14:textId="6A979AAB" w:rsidR="004F5A39" w:rsidRPr="004937DD" w:rsidRDefault="004F5A39" w:rsidP="004937DD">
            <w:pPr>
              <w:pStyle w:val="texto"/>
              <w:ind w:firstLine="0"/>
              <w:jc w:val="center"/>
              <w:rPr>
                <w:rFonts w:ascii="Arial" w:hAnsi="Arial" w:cs="Arial"/>
                <w:sz w:val="18"/>
                <w:szCs w:val="18"/>
              </w:rPr>
            </w:pPr>
            <w:r w:rsidRPr="004937DD">
              <w:rPr>
                <w:rFonts w:ascii="Arial" w:hAnsi="Arial" w:cs="Arial"/>
                <w:sz w:val="18"/>
                <w:szCs w:val="18"/>
              </w:rPr>
              <w:t>Navarra</w:t>
            </w:r>
          </w:p>
        </w:tc>
        <w:tc>
          <w:tcPr>
            <w:tcW w:w="1229" w:type="dxa"/>
            <w:tcBorders>
              <w:right w:val="single" w:sz="2" w:space="0" w:color="auto"/>
            </w:tcBorders>
            <w:shd w:val="clear" w:color="auto" w:fill="9CC2E5" w:themeFill="accent1" w:themeFillTint="99"/>
            <w:vAlign w:val="center"/>
          </w:tcPr>
          <w:p w14:paraId="5C8DCD94" w14:textId="01B9585D" w:rsidR="004F5A39" w:rsidRPr="004937DD" w:rsidRDefault="004F5A39" w:rsidP="004937DD">
            <w:pPr>
              <w:pStyle w:val="texto"/>
              <w:ind w:firstLine="0"/>
              <w:jc w:val="center"/>
              <w:rPr>
                <w:rFonts w:ascii="Arial" w:hAnsi="Arial" w:cs="Arial"/>
                <w:sz w:val="18"/>
                <w:szCs w:val="18"/>
              </w:rPr>
            </w:pPr>
            <w:r w:rsidRPr="004937DD">
              <w:rPr>
                <w:rFonts w:ascii="Arial" w:hAnsi="Arial" w:cs="Arial"/>
                <w:sz w:val="18"/>
                <w:szCs w:val="18"/>
              </w:rPr>
              <w:t>Estado</w:t>
            </w:r>
          </w:p>
        </w:tc>
        <w:tc>
          <w:tcPr>
            <w:tcW w:w="1229" w:type="dxa"/>
            <w:tcBorders>
              <w:left w:val="single" w:sz="2" w:space="0" w:color="auto"/>
            </w:tcBorders>
            <w:shd w:val="clear" w:color="auto" w:fill="9CC2E5" w:themeFill="accent1" w:themeFillTint="99"/>
            <w:vAlign w:val="center"/>
          </w:tcPr>
          <w:p w14:paraId="29D39CAF" w14:textId="7ECBB951" w:rsidR="004F5A39" w:rsidRPr="004937DD" w:rsidRDefault="004F5A39" w:rsidP="004937DD">
            <w:pPr>
              <w:pStyle w:val="texto"/>
              <w:ind w:firstLine="0"/>
              <w:jc w:val="center"/>
              <w:rPr>
                <w:rFonts w:ascii="Arial" w:hAnsi="Arial" w:cs="Arial"/>
                <w:sz w:val="18"/>
                <w:szCs w:val="18"/>
              </w:rPr>
            </w:pPr>
            <w:r w:rsidRPr="004937DD">
              <w:rPr>
                <w:rFonts w:ascii="Arial" w:hAnsi="Arial" w:cs="Arial"/>
                <w:sz w:val="18"/>
                <w:szCs w:val="18"/>
              </w:rPr>
              <w:t>Navarra</w:t>
            </w:r>
          </w:p>
        </w:tc>
        <w:tc>
          <w:tcPr>
            <w:tcW w:w="1229" w:type="dxa"/>
            <w:shd w:val="clear" w:color="auto" w:fill="9CC2E5" w:themeFill="accent1" w:themeFillTint="99"/>
            <w:vAlign w:val="center"/>
          </w:tcPr>
          <w:p w14:paraId="5A4D9CA4" w14:textId="1769201C" w:rsidR="004F5A39" w:rsidRPr="004937DD" w:rsidRDefault="004F5A39" w:rsidP="004937DD">
            <w:pPr>
              <w:pStyle w:val="texto"/>
              <w:ind w:firstLine="0"/>
              <w:jc w:val="center"/>
              <w:rPr>
                <w:rFonts w:ascii="Arial" w:hAnsi="Arial" w:cs="Arial"/>
                <w:sz w:val="18"/>
                <w:szCs w:val="18"/>
              </w:rPr>
            </w:pPr>
            <w:r w:rsidRPr="004937DD">
              <w:rPr>
                <w:rFonts w:ascii="Arial" w:hAnsi="Arial" w:cs="Arial"/>
                <w:sz w:val="18"/>
                <w:szCs w:val="18"/>
              </w:rPr>
              <w:t>Estado</w:t>
            </w:r>
          </w:p>
        </w:tc>
      </w:tr>
      <w:tr w:rsidR="0003545F" w:rsidRPr="004937DD" w14:paraId="4B1A0E15" w14:textId="77777777" w:rsidTr="00BC2A9C">
        <w:trPr>
          <w:trHeight w:val="198"/>
        </w:trPr>
        <w:tc>
          <w:tcPr>
            <w:tcW w:w="1652" w:type="dxa"/>
            <w:vAlign w:val="center"/>
          </w:tcPr>
          <w:p w14:paraId="1F54D4A5" w14:textId="6A3D19EF" w:rsidR="0003545F" w:rsidRPr="004937DD" w:rsidRDefault="47DC85FC" w:rsidP="004937DD">
            <w:pPr>
              <w:pStyle w:val="texto"/>
              <w:ind w:firstLine="0"/>
              <w:rPr>
                <w:rFonts w:ascii="Arial Narrow" w:hAnsi="Arial Narrow"/>
                <w:sz w:val="20"/>
                <w:szCs w:val="20"/>
              </w:rPr>
            </w:pPr>
            <w:r w:rsidRPr="3896A6D9">
              <w:rPr>
                <w:rFonts w:ascii="Arial Narrow" w:hAnsi="Arial Narrow"/>
                <w:sz w:val="20"/>
                <w:szCs w:val="20"/>
              </w:rPr>
              <w:t>P</w:t>
            </w:r>
            <w:r w:rsidR="02D4303B" w:rsidRPr="3896A6D9">
              <w:rPr>
                <w:rFonts w:ascii="Arial Narrow" w:hAnsi="Arial Narrow"/>
                <w:sz w:val="20"/>
                <w:szCs w:val="20"/>
              </w:rPr>
              <w:t>orcentaje de p</w:t>
            </w:r>
            <w:r w:rsidRPr="3896A6D9">
              <w:rPr>
                <w:rFonts w:ascii="Arial Narrow" w:hAnsi="Arial Narrow"/>
                <w:sz w:val="20"/>
                <w:szCs w:val="20"/>
              </w:rPr>
              <w:t>oblación en riesgo de pobreza</w:t>
            </w:r>
          </w:p>
        </w:tc>
        <w:tc>
          <w:tcPr>
            <w:tcW w:w="2221" w:type="dxa"/>
          </w:tcPr>
          <w:p w14:paraId="146E8A4C" w14:textId="4DB8012A" w:rsidR="0003545F" w:rsidRPr="004937DD" w:rsidRDefault="5AEABE93" w:rsidP="004937DD">
            <w:pPr>
              <w:pStyle w:val="texto"/>
              <w:ind w:firstLine="0"/>
              <w:jc w:val="both"/>
              <w:rPr>
                <w:rFonts w:ascii="Arial Narrow" w:hAnsi="Arial Narrow"/>
                <w:sz w:val="18"/>
                <w:szCs w:val="18"/>
              </w:rPr>
            </w:pPr>
            <w:r w:rsidRPr="3896A6D9">
              <w:rPr>
                <w:rFonts w:ascii="Arial Narrow" w:hAnsi="Arial Narrow"/>
                <w:sz w:val="18"/>
                <w:szCs w:val="18"/>
              </w:rPr>
              <w:t>Población cuyos ingresos anuales son inferiores a una cantidad según renta de hogares españoles</w:t>
            </w:r>
            <w:r w:rsidR="004937DD" w:rsidRPr="3896A6D9">
              <w:rPr>
                <w:rFonts w:ascii="Arial Narrow" w:hAnsi="Arial Narrow"/>
                <w:sz w:val="18"/>
                <w:szCs w:val="18"/>
              </w:rPr>
              <w:t xml:space="preserve"> (e</w:t>
            </w:r>
            <w:r w:rsidRPr="3896A6D9">
              <w:rPr>
                <w:rFonts w:ascii="Arial Narrow" w:hAnsi="Arial Narrow"/>
                <w:sz w:val="18"/>
                <w:szCs w:val="18"/>
              </w:rPr>
              <w:t>n 2023, el importe fue de 915 euros/mensuales</w:t>
            </w:r>
            <w:r w:rsidR="004937DD" w:rsidRPr="3896A6D9">
              <w:rPr>
                <w:rFonts w:ascii="Arial Narrow" w:hAnsi="Arial Narrow"/>
                <w:sz w:val="18"/>
                <w:szCs w:val="18"/>
              </w:rPr>
              <w:t>)</w:t>
            </w:r>
            <w:r w:rsidRPr="3896A6D9">
              <w:rPr>
                <w:rFonts w:ascii="Arial Narrow" w:hAnsi="Arial Narrow"/>
                <w:sz w:val="18"/>
                <w:szCs w:val="18"/>
              </w:rPr>
              <w:t>.</w:t>
            </w:r>
          </w:p>
        </w:tc>
        <w:tc>
          <w:tcPr>
            <w:tcW w:w="1229" w:type="dxa"/>
            <w:vAlign w:val="center"/>
          </w:tcPr>
          <w:p w14:paraId="6FBC3C9B" w14:textId="34F41F67" w:rsidR="0003545F" w:rsidRPr="004937DD" w:rsidRDefault="004937DD" w:rsidP="004937DD">
            <w:pPr>
              <w:pStyle w:val="texto"/>
              <w:ind w:firstLine="0"/>
              <w:jc w:val="center"/>
              <w:rPr>
                <w:rFonts w:ascii="Arial Narrow" w:hAnsi="Arial Narrow"/>
                <w:sz w:val="20"/>
                <w:szCs w:val="20"/>
              </w:rPr>
            </w:pPr>
            <w:r>
              <w:rPr>
                <w:rFonts w:ascii="Arial Narrow" w:hAnsi="Arial Narrow"/>
                <w:sz w:val="20"/>
                <w:szCs w:val="20"/>
              </w:rPr>
              <w:t>10,8%</w:t>
            </w:r>
          </w:p>
        </w:tc>
        <w:tc>
          <w:tcPr>
            <w:tcW w:w="1229" w:type="dxa"/>
            <w:tcBorders>
              <w:right w:val="single" w:sz="2" w:space="0" w:color="auto"/>
            </w:tcBorders>
            <w:vAlign w:val="center"/>
          </w:tcPr>
          <w:p w14:paraId="783D6FFD" w14:textId="44B9EDA1" w:rsidR="0003545F" w:rsidRPr="004937DD" w:rsidRDefault="004937DD" w:rsidP="004937DD">
            <w:pPr>
              <w:pStyle w:val="texto"/>
              <w:ind w:firstLine="0"/>
              <w:jc w:val="center"/>
              <w:rPr>
                <w:rFonts w:ascii="Arial Narrow" w:hAnsi="Arial Narrow"/>
                <w:sz w:val="20"/>
                <w:szCs w:val="20"/>
              </w:rPr>
            </w:pPr>
            <w:r>
              <w:rPr>
                <w:rFonts w:ascii="Arial Narrow" w:hAnsi="Arial Narrow"/>
                <w:sz w:val="20"/>
                <w:szCs w:val="20"/>
              </w:rPr>
              <w:t>20,4%</w:t>
            </w:r>
          </w:p>
        </w:tc>
        <w:tc>
          <w:tcPr>
            <w:tcW w:w="1229" w:type="dxa"/>
            <w:tcBorders>
              <w:left w:val="single" w:sz="2" w:space="0" w:color="auto"/>
            </w:tcBorders>
            <w:vAlign w:val="center"/>
          </w:tcPr>
          <w:p w14:paraId="368CA40E" w14:textId="7200302C" w:rsidR="0003545F" w:rsidRPr="004937DD" w:rsidRDefault="0003545F" w:rsidP="004937DD">
            <w:pPr>
              <w:pStyle w:val="texto"/>
              <w:ind w:firstLine="0"/>
              <w:jc w:val="center"/>
              <w:rPr>
                <w:rFonts w:ascii="Arial Narrow" w:hAnsi="Arial Narrow"/>
                <w:sz w:val="20"/>
                <w:szCs w:val="20"/>
              </w:rPr>
            </w:pPr>
            <w:r w:rsidRPr="004937DD">
              <w:rPr>
                <w:rFonts w:ascii="Arial Narrow" w:hAnsi="Arial Narrow"/>
                <w:sz w:val="20"/>
                <w:szCs w:val="20"/>
              </w:rPr>
              <w:t>13,8%</w:t>
            </w:r>
          </w:p>
        </w:tc>
        <w:tc>
          <w:tcPr>
            <w:tcW w:w="1229" w:type="dxa"/>
            <w:vAlign w:val="center"/>
          </w:tcPr>
          <w:p w14:paraId="236DEC96" w14:textId="0C44F41C" w:rsidR="0003545F" w:rsidRPr="004937DD" w:rsidRDefault="0003545F" w:rsidP="004937DD">
            <w:pPr>
              <w:pStyle w:val="texto"/>
              <w:ind w:firstLine="0"/>
              <w:jc w:val="center"/>
              <w:rPr>
                <w:rFonts w:ascii="Arial Narrow" w:hAnsi="Arial Narrow"/>
                <w:sz w:val="20"/>
                <w:szCs w:val="20"/>
              </w:rPr>
            </w:pPr>
            <w:r w:rsidRPr="004937DD">
              <w:rPr>
                <w:rFonts w:ascii="Arial Narrow" w:hAnsi="Arial Narrow"/>
                <w:sz w:val="20"/>
                <w:szCs w:val="20"/>
              </w:rPr>
              <w:t>20,2%</w:t>
            </w:r>
          </w:p>
        </w:tc>
      </w:tr>
      <w:tr w:rsidR="00C23169" w:rsidRPr="004937DD" w14:paraId="3B4B683F" w14:textId="77777777" w:rsidTr="00BC2A9C">
        <w:trPr>
          <w:trHeight w:val="198"/>
        </w:trPr>
        <w:tc>
          <w:tcPr>
            <w:tcW w:w="1652" w:type="dxa"/>
            <w:vAlign w:val="center"/>
          </w:tcPr>
          <w:p w14:paraId="419B226E" w14:textId="1F38CC59" w:rsidR="00C23169" w:rsidRPr="004937DD" w:rsidRDefault="00C23169" w:rsidP="004937DD">
            <w:pPr>
              <w:pStyle w:val="texto"/>
              <w:ind w:firstLine="0"/>
              <w:rPr>
                <w:rFonts w:ascii="Arial Narrow" w:hAnsi="Arial Narrow"/>
                <w:sz w:val="20"/>
                <w:szCs w:val="20"/>
              </w:rPr>
            </w:pPr>
            <w:r w:rsidRPr="004937DD">
              <w:rPr>
                <w:rFonts w:ascii="Arial Narrow" w:hAnsi="Arial Narrow"/>
                <w:sz w:val="20"/>
                <w:szCs w:val="20"/>
              </w:rPr>
              <w:t>Tasa de pobreza severa</w:t>
            </w:r>
          </w:p>
        </w:tc>
        <w:tc>
          <w:tcPr>
            <w:tcW w:w="2221" w:type="dxa"/>
          </w:tcPr>
          <w:p w14:paraId="7784B7E4" w14:textId="3690FCE5" w:rsidR="00C23169" w:rsidRPr="004937DD" w:rsidRDefault="0003545F" w:rsidP="004937DD">
            <w:pPr>
              <w:pStyle w:val="texto"/>
              <w:ind w:firstLine="0"/>
              <w:jc w:val="both"/>
              <w:rPr>
                <w:rFonts w:ascii="Arial Narrow" w:hAnsi="Arial Narrow"/>
                <w:sz w:val="18"/>
                <w:szCs w:val="18"/>
              </w:rPr>
            </w:pPr>
            <w:r w:rsidRPr="004937DD">
              <w:rPr>
                <w:rFonts w:ascii="Arial Narrow" w:hAnsi="Arial Narrow"/>
                <w:sz w:val="18"/>
                <w:szCs w:val="18"/>
              </w:rPr>
              <w:t>Porcentaje de población cuyos ingresos son inferiores al 40 por ciento de la mediana de renta nacional del año</w:t>
            </w:r>
            <w:r w:rsidR="004937DD">
              <w:rPr>
                <w:rFonts w:ascii="Arial Narrow" w:hAnsi="Arial Narrow"/>
                <w:sz w:val="18"/>
                <w:szCs w:val="18"/>
              </w:rPr>
              <w:t xml:space="preserve"> (en 2023, el importe fue de 611 euros/mensuales).</w:t>
            </w:r>
          </w:p>
        </w:tc>
        <w:tc>
          <w:tcPr>
            <w:tcW w:w="1229" w:type="dxa"/>
            <w:vAlign w:val="center"/>
          </w:tcPr>
          <w:p w14:paraId="398F8F2E" w14:textId="33D4A313" w:rsidR="00C23169" w:rsidRPr="004937DD" w:rsidRDefault="004937DD" w:rsidP="004937DD">
            <w:pPr>
              <w:pStyle w:val="texto"/>
              <w:ind w:firstLine="0"/>
              <w:jc w:val="center"/>
              <w:rPr>
                <w:rFonts w:ascii="Arial Narrow" w:hAnsi="Arial Narrow"/>
                <w:sz w:val="20"/>
                <w:szCs w:val="20"/>
              </w:rPr>
            </w:pPr>
            <w:r>
              <w:rPr>
                <w:rFonts w:ascii="Arial Narrow" w:hAnsi="Arial Narrow"/>
                <w:sz w:val="20"/>
                <w:szCs w:val="20"/>
              </w:rPr>
              <w:t>2%</w:t>
            </w:r>
          </w:p>
        </w:tc>
        <w:tc>
          <w:tcPr>
            <w:tcW w:w="1229" w:type="dxa"/>
            <w:tcBorders>
              <w:right w:val="single" w:sz="2" w:space="0" w:color="auto"/>
            </w:tcBorders>
            <w:vAlign w:val="center"/>
          </w:tcPr>
          <w:p w14:paraId="1B90207E" w14:textId="3173B336" w:rsidR="00C23169" w:rsidRPr="004937DD" w:rsidRDefault="004937DD" w:rsidP="004937DD">
            <w:pPr>
              <w:pStyle w:val="texto"/>
              <w:ind w:firstLine="0"/>
              <w:jc w:val="center"/>
              <w:rPr>
                <w:rFonts w:ascii="Arial Narrow" w:hAnsi="Arial Narrow"/>
                <w:sz w:val="20"/>
                <w:szCs w:val="20"/>
              </w:rPr>
            </w:pPr>
            <w:r>
              <w:rPr>
                <w:rFonts w:ascii="Arial Narrow" w:hAnsi="Arial Narrow"/>
                <w:sz w:val="20"/>
                <w:szCs w:val="20"/>
              </w:rPr>
              <w:t>7,4%</w:t>
            </w:r>
          </w:p>
        </w:tc>
        <w:tc>
          <w:tcPr>
            <w:tcW w:w="1229" w:type="dxa"/>
            <w:tcBorders>
              <w:left w:val="single" w:sz="2" w:space="0" w:color="auto"/>
            </w:tcBorders>
            <w:vAlign w:val="center"/>
          </w:tcPr>
          <w:p w14:paraId="2E8F1250" w14:textId="6B434100" w:rsidR="00C23169" w:rsidRPr="004937DD" w:rsidRDefault="004937DD" w:rsidP="004937DD">
            <w:pPr>
              <w:pStyle w:val="texto"/>
              <w:ind w:firstLine="0"/>
              <w:jc w:val="center"/>
              <w:rPr>
                <w:rFonts w:ascii="Arial Narrow" w:hAnsi="Arial Narrow"/>
                <w:sz w:val="20"/>
                <w:szCs w:val="20"/>
              </w:rPr>
            </w:pPr>
            <w:r>
              <w:rPr>
                <w:rFonts w:ascii="Arial Narrow" w:hAnsi="Arial Narrow"/>
                <w:sz w:val="20"/>
                <w:szCs w:val="20"/>
              </w:rPr>
              <w:t>7,7%</w:t>
            </w:r>
          </w:p>
        </w:tc>
        <w:tc>
          <w:tcPr>
            <w:tcW w:w="1229" w:type="dxa"/>
            <w:vAlign w:val="center"/>
          </w:tcPr>
          <w:p w14:paraId="53749A2C" w14:textId="0029FFE7" w:rsidR="00C23169" w:rsidRPr="004937DD" w:rsidRDefault="004937DD" w:rsidP="004937DD">
            <w:pPr>
              <w:pStyle w:val="texto"/>
              <w:ind w:firstLine="0"/>
              <w:jc w:val="center"/>
              <w:rPr>
                <w:rFonts w:ascii="Arial Narrow" w:hAnsi="Arial Narrow"/>
                <w:sz w:val="20"/>
                <w:szCs w:val="20"/>
              </w:rPr>
            </w:pPr>
            <w:r>
              <w:rPr>
                <w:rFonts w:ascii="Arial Narrow" w:hAnsi="Arial Narrow"/>
                <w:sz w:val="20"/>
                <w:szCs w:val="20"/>
              </w:rPr>
              <w:t>8,3%</w:t>
            </w:r>
          </w:p>
        </w:tc>
      </w:tr>
      <w:tr w:rsidR="004937DD" w:rsidRPr="004937DD" w14:paraId="3B9795FF" w14:textId="77777777" w:rsidTr="00BC2A9C">
        <w:trPr>
          <w:trHeight w:val="227"/>
        </w:trPr>
        <w:tc>
          <w:tcPr>
            <w:tcW w:w="1652" w:type="dxa"/>
            <w:vAlign w:val="center"/>
          </w:tcPr>
          <w:p w14:paraId="760F6A5D" w14:textId="77777777" w:rsidR="004937DD" w:rsidRPr="004563CC" w:rsidRDefault="004937DD" w:rsidP="004937DD">
            <w:pPr>
              <w:pStyle w:val="texto"/>
              <w:ind w:firstLine="0"/>
              <w:rPr>
                <w:rFonts w:ascii="Arial" w:hAnsi="Arial" w:cs="Arial"/>
                <w:sz w:val="18"/>
                <w:szCs w:val="18"/>
              </w:rPr>
            </w:pPr>
          </w:p>
        </w:tc>
        <w:tc>
          <w:tcPr>
            <w:tcW w:w="2221" w:type="dxa"/>
            <w:vAlign w:val="center"/>
          </w:tcPr>
          <w:p w14:paraId="48706B8B" w14:textId="77777777" w:rsidR="004937DD" w:rsidRPr="004563CC" w:rsidRDefault="004937DD" w:rsidP="004937DD">
            <w:pPr>
              <w:pStyle w:val="texto"/>
              <w:ind w:firstLine="0"/>
              <w:jc w:val="both"/>
              <w:rPr>
                <w:rFonts w:ascii="Arial" w:hAnsi="Arial" w:cs="Arial"/>
                <w:sz w:val="18"/>
                <w:szCs w:val="18"/>
              </w:rPr>
            </w:pPr>
          </w:p>
        </w:tc>
        <w:tc>
          <w:tcPr>
            <w:tcW w:w="2458" w:type="dxa"/>
            <w:gridSpan w:val="2"/>
            <w:tcBorders>
              <w:right w:val="single" w:sz="2" w:space="0" w:color="auto"/>
            </w:tcBorders>
            <w:vAlign w:val="center"/>
          </w:tcPr>
          <w:p w14:paraId="1BDA93C8" w14:textId="77777777" w:rsidR="004937DD" w:rsidRPr="004563CC" w:rsidRDefault="004937DD" w:rsidP="004937DD">
            <w:pPr>
              <w:pStyle w:val="texto"/>
              <w:ind w:firstLine="0"/>
              <w:jc w:val="center"/>
              <w:rPr>
                <w:rFonts w:ascii="Arial" w:hAnsi="Arial" w:cs="Arial"/>
                <w:sz w:val="18"/>
                <w:szCs w:val="18"/>
              </w:rPr>
            </w:pPr>
          </w:p>
        </w:tc>
        <w:tc>
          <w:tcPr>
            <w:tcW w:w="2458" w:type="dxa"/>
            <w:gridSpan w:val="2"/>
            <w:tcBorders>
              <w:left w:val="single" w:sz="2" w:space="0" w:color="auto"/>
            </w:tcBorders>
            <w:vAlign w:val="center"/>
          </w:tcPr>
          <w:p w14:paraId="2B6422CB" w14:textId="77777777" w:rsidR="004937DD" w:rsidRPr="004563CC" w:rsidRDefault="004937DD" w:rsidP="004937DD">
            <w:pPr>
              <w:pStyle w:val="texto"/>
              <w:ind w:firstLine="0"/>
              <w:jc w:val="center"/>
              <w:rPr>
                <w:rFonts w:ascii="Arial" w:hAnsi="Arial" w:cs="Arial"/>
                <w:sz w:val="18"/>
                <w:szCs w:val="18"/>
              </w:rPr>
            </w:pPr>
          </w:p>
        </w:tc>
      </w:tr>
      <w:tr w:rsidR="004937DD" w:rsidRPr="004937DD" w14:paraId="709CF0DA" w14:textId="77777777" w:rsidTr="00BC2A9C">
        <w:trPr>
          <w:trHeight w:val="255"/>
        </w:trPr>
        <w:tc>
          <w:tcPr>
            <w:tcW w:w="1652" w:type="dxa"/>
            <w:vMerge w:val="restart"/>
            <w:shd w:val="clear" w:color="auto" w:fill="9CC2E5" w:themeFill="accent1" w:themeFillTint="99"/>
            <w:vAlign w:val="center"/>
          </w:tcPr>
          <w:p w14:paraId="0084B467" w14:textId="3AC6F35F" w:rsidR="004937DD" w:rsidRPr="004937DD" w:rsidRDefault="004937DD" w:rsidP="004937DD">
            <w:pPr>
              <w:pStyle w:val="texto"/>
              <w:ind w:firstLine="0"/>
              <w:rPr>
                <w:rFonts w:ascii="Arial Narrow" w:hAnsi="Arial Narrow"/>
                <w:sz w:val="20"/>
                <w:szCs w:val="20"/>
              </w:rPr>
            </w:pPr>
            <w:r w:rsidRPr="004563CC">
              <w:rPr>
                <w:rFonts w:ascii="Arial" w:hAnsi="Arial" w:cs="Arial"/>
                <w:sz w:val="18"/>
                <w:szCs w:val="18"/>
              </w:rPr>
              <w:t>Indicador</w:t>
            </w:r>
          </w:p>
        </w:tc>
        <w:tc>
          <w:tcPr>
            <w:tcW w:w="2221" w:type="dxa"/>
            <w:vMerge w:val="restart"/>
            <w:shd w:val="clear" w:color="auto" w:fill="9CC2E5" w:themeFill="accent1" w:themeFillTint="99"/>
            <w:vAlign w:val="center"/>
          </w:tcPr>
          <w:p w14:paraId="7E0984CB" w14:textId="7D734AEA" w:rsidR="004937DD" w:rsidRPr="004937DD" w:rsidRDefault="004937DD" w:rsidP="004937DD">
            <w:pPr>
              <w:pStyle w:val="texto"/>
              <w:ind w:firstLine="0"/>
              <w:jc w:val="both"/>
              <w:rPr>
                <w:rFonts w:ascii="Arial Narrow" w:hAnsi="Arial Narrow"/>
                <w:sz w:val="18"/>
                <w:szCs w:val="18"/>
              </w:rPr>
            </w:pPr>
            <w:r w:rsidRPr="004563CC">
              <w:rPr>
                <w:rFonts w:ascii="Arial" w:hAnsi="Arial" w:cs="Arial"/>
                <w:sz w:val="18"/>
                <w:szCs w:val="18"/>
              </w:rPr>
              <w:t>Definición</w:t>
            </w:r>
          </w:p>
        </w:tc>
        <w:tc>
          <w:tcPr>
            <w:tcW w:w="2458" w:type="dxa"/>
            <w:gridSpan w:val="2"/>
            <w:tcBorders>
              <w:right w:val="single" w:sz="2" w:space="0" w:color="auto"/>
            </w:tcBorders>
            <w:shd w:val="clear" w:color="auto" w:fill="9CC2E5" w:themeFill="accent1" w:themeFillTint="99"/>
            <w:vAlign w:val="center"/>
          </w:tcPr>
          <w:p w14:paraId="620DFE46" w14:textId="75038FD7" w:rsidR="004937DD" w:rsidRPr="004937DD" w:rsidRDefault="004937DD" w:rsidP="004937DD">
            <w:pPr>
              <w:pStyle w:val="texto"/>
              <w:ind w:firstLine="0"/>
              <w:jc w:val="center"/>
              <w:rPr>
                <w:rFonts w:ascii="Arial Narrow" w:hAnsi="Arial Narrow"/>
                <w:sz w:val="20"/>
                <w:szCs w:val="20"/>
              </w:rPr>
            </w:pPr>
            <w:r w:rsidRPr="004563CC">
              <w:rPr>
                <w:rFonts w:ascii="Arial" w:hAnsi="Arial" w:cs="Arial"/>
                <w:sz w:val="18"/>
                <w:szCs w:val="18"/>
              </w:rPr>
              <w:t>20</w:t>
            </w:r>
            <w:r>
              <w:rPr>
                <w:rFonts w:ascii="Arial" w:hAnsi="Arial" w:cs="Arial"/>
                <w:sz w:val="18"/>
                <w:szCs w:val="18"/>
              </w:rPr>
              <w:t>15</w:t>
            </w:r>
          </w:p>
        </w:tc>
        <w:tc>
          <w:tcPr>
            <w:tcW w:w="2458" w:type="dxa"/>
            <w:gridSpan w:val="2"/>
            <w:tcBorders>
              <w:left w:val="single" w:sz="2" w:space="0" w:color="auto"/>
            </w:tcBorders>
            <w:shd w:val="clear" w:color="auto" w:fill="9CC2E5" w:themeFill="accent1" w:themeFillTint="99"/>
            <w:vAlign w:val="center"/>
          </w:tcPr>
          <w:p w14:paraId="3F45B77C" w14:textId="4D4543BF" w:rsidR="004937DD" w:rsidRPr="004937DD" w:rsidRDefault="004937DD" w:rsidP="004937DD">
            <w:pPr>
              <w:pStyle w:val="texto"/>
              <w:ind w:firstLine="0"/>
              <w:jc w:val="center"/>
              <w:rPr>
                <w:rFonts w:ascii="Arial Narrow" w:hAnsi="Arial Narrow"/>
                <w:sz w:val="20"/>
                <w:szCs w:val="20"/>
              </w:rPr>
            </w:pPr>
            <w:r w:rsidRPr="004563CC">
              <w:rPr>
                <w:rFonts w:ascii="Arial" w:hAnsi="Arial" w:cs="Arial"/>
                <w:sz w:val="18"/>
                <w:szCs w:val="18"/>
              </w:rPr>
              <w:t>2023</w:t>
            </w:r>
          </w:p>
        </w:tc>
      </w:tr>
      <w:tr w:rsidR="004937DD" w:rsidRPr="004937DD" w14:paraId="6DE3B2BF" w14:textId="77777777" w:rsidTr="00BC2A9C">
        <w:trPr>
          <w:trHeight w:val="255"/>
        </w:trPr>
        <w:tc>
          <w:tcPr>
            <w:tcW w:w="1652" w:type="dxa"/>
            <w:vMerge/>
            <w:vAlign w:val="center"/>
          </w:tcPr>
          <w:p w14:paraId="62BE94DB" w14:textId="77777777" w:rsidR="004937DD" w:rsidRPr="004937DD" w:rsidRDefault="004937DD" w:rsidP="004937DD">
            <w:pPr>
              <w:pStyle w:val="texto"/>
              <w:ind w:firstLine="0"/>
              <w:rPr>
                <w:rFonts w:ascii="Arial Narrow" w:hAnsi="Arial Narrow"/>
                <w:sz w:val="20"/>
                <w:szCs w:val="20"/>
              </w:rPr>
            </w:pPr>
          </w:p>
        </w:tc>
        <w:tc>
          <w:tcPr>
            <w:tcW w:w="2221" w:type="dxa"/>
            <w:vMerge/>
          </w:tcPr>
          <w:p w14:paraId="446170BF" w14:textId="77777777" w:rsidR="004937DD" w:rsidRPr="004937DD" w:rsidRDefault="004937DD" w:rsidP="004937DD">
            <w:pPr>
              <w:pStyle w:val="texto"/>
              <w:ind w:firstLine="0"/>
              <w:jc w:val="both"/>
              <w:rPr>
                <w:rFonts w:ascii="Arial Narrow" w:hAnsi="Arial Narrow"/>
                <w:sz w:val="18"/>
                <w:szCs w:val="18"/>
              </w:rPr>
            </w:pPr>
          </w:p>
        </w:tc>
        <w:tc>
          <w:tcPr>
            <w:tcW w:w="1229" w:type="dxa"/>
            <w:shd w:val="clear" w:color="auto" w:fill="9CC2E5" w:themeFill="accent1" w:themeFillTint="99"/>
            <w:vAlign w:val="center"/>
          </w:tcPr>
          <w:p w14:paraId="692F2B65" w14:textId="7544D312" w:rsidR="004937DD" w:rsidRPr="004937DD" w:rsidRDefault="004937DD" w:rsidP="004937DD">
            <w:pPr>
              <w:pStyle w:val="texto"/>
              <w:ind w:firstLine="0"/>
              <w:jc w:val="center"/>
              <w:rPr>
                <w:rFonts w:ascii="Arial Narrow" w:hAnsi="Arial Narrow"/>
                <w:sz w:val="20"/>
                <w:szCs w:val="20"/>
              </w:rPr>
            </w:pPr>
            <w:r w:rsidRPr="004563CC">
              <w:rPr>
                <w:rFonts w:ascii="Arial" w:hAnsi="Arial" w:cs="Arial"/>
                <w:sz w:val="18"/>
                <w:szCs w:val="18"/>
              </w:rPr>
              <w:t>Navarra</w:t>
            </w:r>
          </w:p>
        </w:tc>
        <w:tc>
          <w:tcPr>
            <w:tcW w:w="1229" w:type="dxa"/>
            <w:tcBorders>
              <w:right w:val="single" w:sz="2" w:space="0" w:color="auto"/>
            </w:tcBorders>
            <w:shd w:val="clear" w:color="auto" w:fill="9CC2E5" w:themeFill="accent1" w:themeFillTint="99"/>
            <w:vAlign w:val="center"/>
          </w:tcPr>
          <w:p w14:paraId="51A0C3FE" w14:textId="6C624DD3" w:rsidR="004937DD" w:rsidRPr="004937DD" w:rsidRDefault="004937DD" w:rsidP="004937DD">
            <w:pPr>
              <w:pStyle w:val="texto"/>
              <w:ind w:firstLine="0"/>
              <w:jc w:val="center"/>
              <w:rPr>
                <w:rFonts w:ascii="Arial Narrow" w:hAnsi="Arial Narrow"/>
                <w:sz w:val="20"/>
                <w:szCs w:val="20"/>
              </w:rPr>
            </w:pPr>
            <w:r w:rsidRPr="004563CC">
              <w:rPr>
                <w:rFonts w:ascii="Arial" w:hAnsi="Arial" w:cs="Arial"/>
                <w:sz w:val="18"/>
                <w:szCs w:val="18"/>
              </w:rPr>
              <w:t>Estado</w:t>
            </w:r>
          </w:p>
        </w:tc>
        <w:tc>
          <w:tcPr>
            <w:tcW w:w="1229" w:type="dxa"/>
            <w:tcBorders>
              <w:left w:val="single" w:sz="2" w:space="0" w:color="auto"/>
            </w:tcBorders>
            <w:shd w:val="clear" w:color="auto" w:fill="9CC2E5" w:themeFill="accent1" w:themeFillTint="99"/>
            <w:vAlign w:val="center"/>
          </w:tcPr>
          <w:p w14:paraId="1F8BBC3F" w14:textId="12509443" w:rsidR="004937DD" w:rsidRPr="004937DD" w:rsidRDefault="004937DD" w:rsidP="004937DD">
            <w:pPr>
              <w:pStyle w:val="texto"/>
              <w:ind w:firstLine="0"/>
              <w:jc w:val="center"/>
              <w:rPr>
                <w:rFonts w:ascii="Arial Narrow" w:hAnsi="Arial Narrow"/>
                <w:sz w:val="20"/>
                <w:szCs w:val="20"/>
              </w:rPr>
            </w:pPr>
            <w:r w:rsidRPr="004563CC">
              <w:rPr>
                <w:rFonts w:ascii="Arial" w:hAnsi="Arial" w:cs="Arial"/>
                <w:sz w:val="18"/>
                <w:szCs w:val="18"/>
              </w:rPr>
              <w:t>Navarra</w:t>
            </w:r>
          </w:p>
        </w:tc>
        <w:tc>
          <w:tcPr>
            <w:tcW w:w="1229" w:type="dxa"/>
            <w:shd w:val="clear" w:color="auto" w:fill="9CC2E5" w:themeFill="accent1" w:themeFillTint="99"/>
            <w:vAlign w:val="center"/>
          </w:tcPr>
          <w:p w14:paraId="4EC16F9D" w14:textId="38548484" w:rsidR="004937DD" w:rsidRPr="004937DD" w:rsidRDefault="004937DD" w:rsidP="004937DD">
            <w:pPr>
              <w:pStyle w:val="texto"/>
              <w:ind w:firstLine="0"/>
              <w:jc w:val="center"/>
              <w:rPr>
                <w:rFonts w:ascii="Arial Narrow" w:hAnsi="Arial Narrow"/>
                <w:sz w:val="20"/>
                <w:szCs w:val="20"/>
              </w:rPr>
            </w:pPr>
            <w:r w:rsidRPr="004563CC">
              <w:rPr>
                <w:rFonts w:ascii="Arial" w:hAnsi="Arial" w:cs="Arial"/>
                <w:sz w:val="18"/>
                <w:szCs w:val="18"/>
              </w:rPr>
              <w:t>Estado</w:t>
            </w:r>
          </w:p>
        </w:tc>
      </w:tr>
      <w:tr w:rsidR="00C23169" w:rsidRPr="004937DD" w14:paraId="3B71BED3" w14:textId="77777777" w:rsidTr="00BC2A9C">
        <w:trPr>
          <w:trHeight w:val="198"/>
        </w:trPr>
        <w:tc>
          <w:tcPr>
            <w:tcW w:w="1652" w:type="dxa"/>
            <w:tcBorders>
              <w:bottom w:val="single" w:sz="4" w:space="0" w:color="auto"/>
            </w:tcBorders>
            <w:vAlign w:val="center"/>
          </w:tcPr>
          <w:p w14:paraId="56EAFFB1" w14:textId="2AC95569" w:rsidR="00C23169" w:rsidRPr="004937DD" w:rsidRDefault="00C23169" w:rsidP="004937DD">
            <w:pPr>
              <w:pStyle w:val="texto"/>
              <w:ind w:firstLine="0"/>
              <w:rPr>
                <w:rFonts w:ascii="Arial Narrow" w:hAnsi="Arial Narrow"/>
                <w:sz w:val="20"/>
                <w:szCs w:val="20"/>
              </w:rPr>
            </w:pPr>
            <w:r w:rsidRPr="004937DD">
              <w:rPr>
                <w:rFonts w:ascii="Arial Narrow" w:hAnsi="Arial Narrow"/>
                <w:sz w:val="20"/>
                <w:szCs w:val="20"/>
              </w:rPr>
              <w:t>Indicador AROPE</w:t>
            </w:r>
            <w:r w:rsidR="004937DD">
              <w:rPr>
                <w:rFonts w:ascii="Arial Narrow" w:hAnsi="Arial Narrow"/>
                <w:sz w:val="20"/>
                <w:szCs w:val="20"/>
              </w:rPr>
              <w:t>*</w:t>
            </w:r>
          </w:p>
        </w:tc>
        <w:tc>
          <w:tcPr>
            <w:tcW w:w="2221" w:type="dxa"/>
            <w:tcBorders>
              <w:bottom w:val="single" w:sz="4" w:space="0" w:color="auto"/>
            </w:tcBorders>
          </w:tcPr>
          <w:p w14:paraId="10601C18" w14:textId="630142D9" w:rsidR="00C23169" w:rsidRPr="004937DD" w:rsidRDefault="0003545F" w:rsidP="004937DD">
            <w:pPr>
              <w:pStyle w:val="texto"/>
              <w:ind w:firstLine="0"/>
              <w:jc w:val="both"/>
              <w:rPr>
                <w:rFonts w:ascii="Arial Narrow" w:hAnsi="Arial Narrow"/>
                <w:sz w:val="18"/>
                <w:szCs w:val="18"/>
              </w:rPr>
            </w:pPr>
            <w:r w:rsidRPr="004937DD">
              <w:rPr>
                <w:rFonts w:ascii="Arial Narrow" w:hAnsi="Arial Narrow"/>
                <w:sz w:val="18"/>
                <w:szCs w:val="18"/>
              </w:rPr>
              <w:t>Porcentaje de población que se encuentra en riesgo de pobreza y/o exclusión social combinando elementos de renta, posibilidades de consumo y empleo</w:t>
            </w:r>
          </w:p>
        </w:tc>
        <w:tc>
          <w:tcPr>
            <w:tcW w:w="1229" w:type="dxa"/>
            <w:tcBorders>
              <w:bottom w:val="single" w:sz="4" w:space="0" w:color="auto"/>
            </w:tcBorders>
            <w:vAlign w:val="center"/>
          </w:tcPr>
          <w:p w14:paraId="522282AF" w14:textId="49818755" w:rsidR="00C23169" w:rsidRPr="004937DD" w:rsidRDefault="004937DD" w:rsidP="004937DD">
            <w:pPr>
              <w:pStyle w:val="texto"/>
              <w:ind w:firstLine="0"/>
              <w:jc w:val="center"/>
              <w:rPr>
                <w:rFonts w:ascii="Arial Narrow" w:hAnsi="Arial Narrow"/>
                <w:sz w:val="20"/>
                <w:szCs w:val="20"/>
              </w:rPr>
            </w:pPr>
            <w:r>
              <w:rPr>
                <w:rFonts w:ascii="Arial Narrow" w:hAnsi="Arial Narrow"/>
                <w:sz w:val="20"/>
                <w:szCs w:val="20"/>
              </w:rPr>
              <w:t>13,9%</w:t>
            </w:r>
          </w:p>
        </w:tc>
        <w:tc>
          <w:tcPr>
            <w:tcW w:w="1229" w:type="dxa"/>
            <w:tcBorders>
              <w:bottom w:val="single" w:sz="4" w:space="0" w:color="auto"/>
              <w:right w:val="single" w:sz="2" w:space="0" w:color="auto"/>
            </w:tcBorders>
            <w:vAlign w:val="center"/>
          </w:tcPr>
          <w:p w14:paraId="164D922F" w14:textId="0E0157C6" w:rsidR="00C23169" w:rsidRPr="004937DD" w:rsidRDefault="004937DD" w:rsidP="004937DD">
            <w:pPr>
              <w:pStyle w:val="texto"/>
              <w:ind w:firstLine="0"/>
              <w:jc w:val="center"/>
              <w:rPr>
                <w:rFonts w:ascii="Arial Narrow" w:hAnsi="Arial Narrow"/>
                <w:sz w:val="20"/>
                <w:szCs w:val="20"/>
              </w:rPr>
            </w:pPr>
            <w:r>
              <w:rPr>
                <w:rFonts w:ascii="Arial Narrow" w:hAnsi="Arial Narrow"/>
                <w:sz w:val="20"/>
                <w:szCs w:val="20"/>
              </w:rPr>
              <w:t>28,7%</w:t>
            </w:r>
          </w:p>
        </w:tc>
        <w:tc>
          <w:tcPr>
            <w:tcW w:w="1229" w:type="dxa"/>
            <w:tcBorders>
              <w:left w:val="single" w:sz="2" w:space="0" w:color="auto"/>
              <w:bottom w:val="single" w:sz="4" w:space="0" w:color="auto"/>
            </w:tcBorders>
            <w:vAlign w:val="center"/>
          </w:tcPr>
          <w:p w14:paraId="3CA4519A" w14:textId="515681CA" w:rsidR="00C23169" w:rsidRPr="004937DD" w:rsidRDefault="004937DD" w:rsidP="004937DD">
            <w:pPr>
              <w:pStyle w:val="texto"/>
              <w:ind w:firstLine="0"/>
              <w:jc w:val="center"/>
              <w:rPr>
                <w:rFonts w:ascii="Arial Narrow" w:hAnsi="Arial Narrow"/>
                <w:sz w:val="20"/>
                <w:szCs w:val="20"/>
              </w:rPr>
            </w:pPr>
            <w:r>
              <w:rPr>
                <w:rFonts w:ascii="Arial Narrow" w:hAnsi="Arial Narrow"/>
                <w:sz w:val="20"/>
                <w:szCs w:val="20"/>
              </w:rPr>
              <w:t>17,2%</w:t>
            </w:r>
          </w:p>
        </w:tc>
        <w:tc>
          <w:tcPr>
            <w:tcW w:w="1229" w:type="dxa"/>
            <w:tcBorders>
              <w:bottom w:val="single" w:sz="4" w:space="0" w:color="auto"/>
            </w:tcBorders>
            <w:vAlign w:val="center"/>
          </w:tcPr>
          <w:p w14:paraId="10FC55BC" w14:textId="529D3E23" w:rsidR="00C23169" w:rsidRPr="004937DD" w:rsidRDefault="004937DD" w:rsidP="004937DD">
            <w:pPr>
              <w:pStyle w:val="texto"/>
              <w:ind w:firstLine="0"/>
              <w:jc w:val="center"/>
              <w:rPr>
                <w:rFonts w:ascii="Arial Narrow" w:hAnsi="Arial Narrow"/>
                <w:sz w:val="20"/>
                <w:szCs w:val="20"/>
              </w:rPr>
            </w:pPr>
            <w:r>
              <w:rPr>
                <w:rFonts w:ascii="Arial Narrow" w:hAnsi="Arial Narrow"/>
                <w:sz w:val="20"/>
                <w:szCs w:val="20"/>
              </w:rPr>
              <w:t>26,5%</w:t>
            </w:r>
          </w:p>
        </w:tc>
      </w:tr>
      <w:tr w:rsidR="004937DD" w:rsidRPr="004937DD" w14:paraId="197703FF" w14:textId="77777777" w:rsidTr="3896A6D9">
        <w:trPr>
          <w:trHeight w:val="227"/>
        </w:trPr>
        <w:tc>
          <w:tcPr>
            <w:tcW w:w="8789" w:type="dxa"/>
            <w:gridSpan w:val="6"/>
            <w:tcBorders>
              <w:bottom w:val="nil"/>
            </w:tcBorders>
            <w:vAlign w:val="center"/>
          </w:tcPr>
          <w:p w14:paraId="3C941F06" w14:textId="1FB0DFAD" w:rsidR="004937DD" w:rsidRPr="004937DD" w:rsidRDefault="004937DD" w:rsidP="00A76A9C">
            <w:pPr>
              <w:pStyle w:val="texto"/>
              <w:spacing w:before="60"/>
              <w:ind w:left="-107" w:firstLine="0"/>
              <w:rPr>
                <w:rFonts w:ascii="Arial Narrow" w:hAnsi="Arial Narrow"/>
                <w:sz w:val="16"/>
                <w:szCs w:val="16"/>
              </w:rPr>
            </w:pPr>
            <w:r w:rsidRPr="004937DD">
              <w:rPr>
                <w:rFonts w:ascii="Arial Narrow" w:hAnsi="Arial Narrow"/>
                <w:sz w:val="16"/>
                <w:szCs w:val="16"/>
              </w:rPr>
              <w:t>*Este indicador está disponible desde 2015 por lo que su comparación se hace sobre el dato de ese año</w:t>
            </w:r>
            <w:r w:rsidR="00BC2A9C">
              <w:rPr>
                <w:rFonts w:ascii="Arial Narrow" w:hAnsi="Arial Narrow"/>
                <w:sz w:val="16"/>
                <w:szCs w:val="16"/>
              </w:rPr>
              <w:t>.</w:t>
            </w:r>
          </w:p>
        </w:tc>
      </w:tr>
    </w:tbl>
    <w:p w14:paraId="277048F6" w14:textId="76319F5F" w:rsidR="004937DD" w:rsidRPr="004B5DA4" w:rsidRDefault="004937DD" w:rsidP="00A76A9C">
      <w:pPr>
        <w:pStyle w:val="texto"/>
        <w:spacing w:before="240" w:after="140"/>
        <w:jc w:val="both"/>
      </w:pPr>
      <w:r>
        <w:t xml:space="preserve">Los valores de los </w:t>
      </w:r>
      <w:r w:rsidR="233AB041">
        <w:t xml:space="preserve">anteriores </w:t>
      </w:r>
      <w:r>
        <w:t xml:space="preserve">indicadores son mejores en Navarra respecto al Estado en todos los casos, si bien </w:t>
      </w:r>
      <w:r w:rsidR="66637976">
        <w:t xml:space="preserve">destacamos </w:t>
      </w:r>
      <w:r w:rsidR="00715E6A">
        <w:t xml:space="preserve">un </w:t>
      </w:r>
      <w:r w:rsidR="5E74344F">
        <w:t xml:space="preserve">significativo </w:t>
      </w:r>
      <w:r w:rsidR="00715E6A">
        <w:t xml:space="preserve">empeoramiento </w:t>
      </w:r>
      <w:r w:rsidR="0B71FD77">
        <w:t>de los mismos</w:t>
      </w:r>
      <w:r w:rsidR="00715E6A">
        <w:t xml:space="preserve"> en la Comunidad Foral</w:t>
      </w:r>
      <w:r w:rsidR="00297CB2">
        <w:t>.</w:t>
      </w:r>
    </w:p>
    <w:p w14:paraId="237EA994" w14:textId="77777777" w:rsidR="004937DD" w:rsidRDefault="004937DD">
      <w:pPr>
        <w:spacing w:after="160" w:line="259" w:lineRule="auto"/>
        <w:rPr>
          <w:rFonts w:ascii="Arial" w:hAnsi="Arial"/>
          <w:bCs/>
          <w:iCs/>
          <w:color w:val="000000"/>
          <w:spacing w:val="10"/>
          <w:kern w:val="28"/>
          <w:sz w:val="25"/>
          <w:szCs w:val="26"/>
        </w:rPr>
      </w:pPr>
      <w:r>
        <w:br w:type="page"/>
      </w:r>
    </w:p>
    <w:p w14:paraId="380A3220" w14:textId="1B6B0B05" w:rsidR="00217666" w:rsidRDefault="4238D907" w:rsidP="002377DF">
      <w:pPr>
        <w:pStyle w:val="atitulo2"/>
        <w:spacing w:before="240"/>
        <w:jc w:val="both"/>
      </w:pPr>
      <w:bookmarkStart w:id="16" w:name="_Toc187821046"/>
      <w:r>
        <w:lastRenderedPageBreak/>
        <w:t xml:space="preserve">2.1 </w:t>
      </w:r>
      <w:r w:rsidR="7A479D4F">
        <w:t>A</w:t>
      </w:r>
      <w:r>
        <w:t xml:space="preserve">spectos generales </w:t>
      </w:r>
      <w:r w:rsidR="002377DF">
        <w:t xml:space="preserve">de </w:t>
      </w:r>
      <w:r w:rsidR="002929EB">
        <w:t>la RG e IMV</w:t>
      </w:r>
      <w:bookmarkEnd w:id="16"/>
    </w:p>
    <w:p w14:paraId="78CC446C" w14:textId="1AAD31E4" w:rsidR="002377DF" w:rsidRDefault="002377DF" w:rsidP="3896A6D9">
      <w:pPr>
        <w:pStyle w:val="texto"/>
        <w:spacing w:after="140"/>
        <w:jc w:val="both"/>
        <w:rPr>
          <w:rFonts w:ascii="Arial" w:hAnsi="Arial" w:cs="Arial"/>
          <w:i/>
          <w:iCs/>
        </w:rPr>
      </w:pPr>
      <w:r>
        <w:t>En Navarra, existen prestaciones destinadas a garantizar un nivel mínimo de renta</w:t>
      </w:r>
      <w:r w:rsidR="002139E5">
        <w:t xml:space="preserve">, siendo la </w:t>
      </w:r>
      <w:r>
        <w:t xml:space="preserve">RG y el IMV </w:t>
      </w:r>
      <w:r w:rsidR="002139E5">
        <w:t>dos de las más relevantes. A continuación</w:t>
      </w:r>
      <w:r w:rsidR="009558A9">
        <w:t>,</w:t>
      </w:r>
      <w:r w:rsidR="002139E5">
        <w:t xml:space="preserve"> describimos </w:t>
      </w:r>
      <w:r w:rsidR="009558A9">
        <w:t>aspectos generales de ambas</w:t>
      </w:r>
      <w:r>
        <w:t>.</w:t>
      </w:r>
    </w:p>
    <w:p w14:paraId="672CD2C0" w14:textId="51AFB632" w:rsidR="004B5DA4" w:rsidRPr="00760490" w:rsidRDefault="001E54B3" w:rsidP="001E54B3">
      <w:pPr>
        <w:pStyle w:val="atitulo3"/>
        <w:spacing w:before="240"/>
      </w:pPr>
      <w:r>
        <w:t>2.1.1</w:t>
      </w:r>
      <w:r w:rsidR="002377DF">
        <w:t xml:space="preserve"> </w:t>
      </w:r>
      <w:r w:rsidR="004B5DA4">
        <w:t>Renta garantizada</w:t>
      </w:r>
    </w:p>
    <w:p w14:paraId="24976D7E" w14:textId="6E0A8CC7" w:rsidR="254F0CD5" w:rsidRPr="00A215EC" w:rsidRDefault="254F0CD5" w:rsidP="00A215EC">
      <w:pPr>
        <w:pStyle w:val="texto"/>
        <w:spacing w:after="140"/>
        <w:jc w:val="both"/>
        <w:rPr>
          <w:lang w:val="es-ES_tradnl"/>
        </w:rPr>
      </w:pPr>
      <w:r>
        <w:t xml:space="preserve">Teniendo en cuenta los indicadores anteriores </w:t>
      </w:r>
      <w:r w:rsidR="002377DF">
        <w:t xml:space="preserve">sobre la pobreza </w:t>
      </w:r>
      <w:r>
        <w:t xml:space="preserve">y su evolución en el tiempo, </w:t>
      </w:r>
      <w:r w:rsidRPr="00A215EC">
        <w:rPr>
          <w:lang w:val="es-ES_tradnl"/>
        </w:rPr>
        <w:t>las comunidades autónomas diseñaron ayudas para hacer frente a esta situación. En concreto, en Navarra, la Ley Foral 15/2016, de 11 de noviembre, regula los derechos a la inclusión social y a la renta garantizada y el Decreto Foral 26/2018, de 25 de abril, los desarrolla reglamentariamente.</w:t>
      </w:r>
    </w:p>
    <w:p w14:paraId="0D3D37A2" w14:textId="434FB107" w:rsidR="001148D9" w:rsidRDefault="36A4DF3F" w:rsidP="00A215EC">
      <w:pPr>
        <w:pStyle w:val="texto"/>
        <w:spacing w:after="140"/>
        <w:jc w:val="both"/>
      </w:pPr>
      <w:r w:rsidRPr="00A215EC">
        <w:rPr>
          <w:lang w:val="es-ES_tradnl"/>
        </w:rPr>
        <w:t xml:space="preserve">La normativa </w:t>
      </w:r>
      <w:r w:rsidR="472AB627" w:rsidRPr="00A215EC">
        <w:rPr>
          <w:lang w:val="es-ES_tradnl"/>
        </w:rPr>
        <w:t>sobre RG</w:t>
      </w:r>
      <w:r w:rsidR="472AB627">
        <w:t xml:space="preserve"> </w:t>
      </w:r>
      <w:r>
        <w:t>introdujo</w:t>
      </w:r>
      <w:r w:rsidR="62A9032F">
        <w:t xml:space="preserve"> en el sistema de protección social de Navarra el modelo de doble derecho: el derecho a recibir los apoyos y el acompañamiento personalizado orientado a la inclusión plena y efectiva en la sociedad y el derecho subjetivo a una </w:t>
      </w:r>
      <w:r w:rsidR="00570102">
        <w:t>RG</w:t>
      </w:r>
      <w:r w:rsidR="62A9032F">
        <w:t xml:space="preserve"> como prestación destinada a cubrir las necesidades básicas de las personas que, reuniendo determinadas circunstancias, carecen de capacidad económica para ello. </w:t>
      </w:r>
    </w:p>
    <w:p w14:paraId="3AFFAC00" w14:textId="23B7A525" w:rsidR="00FE1F21" w:rsidRDefault="62A9032F" w:rsidP="00A215EC">
      <w:pPr>
        <w:pStyle w:val="texto"/>
        <w:spacing w:after="140"/>
        <w:jc w:val="both"/>
      </w:pPr>
      <w:r w:rsidRPr="5D8B6717">
        <w:t>La Ley Foral 15/2016 señala que</w:t>
      </w:r>
      <w:r w:rsidR="4B6D17C3" w:rsidRPr="5D8B6717">
        <w:t xml:space="preserve"> la RG es compatible con otras </w:t>
      </w:r>
      <w:r w:rsidR="0027110E" w:rsidRPr="5D8B6717">
        <w:t>prestaciones siempre</w:t>
      </w:r>
      <w:r w:rsidRPr="5D8B6717">
        <w:t xml:space="preserve"> que el importe percibido no supere el límite establecido para la RG considerando el número de miembros de la unidad familiar. La cantidad a percibir por RG será la diferencia entre la cuantía que señala </w:t>
      </w:r>
      <w:r w:rsidR="1AC3C574" w:rsidRPr="5D8B6717">
        <w:t>esta prestación</w:t>
      </w:r>
      <w:r w:rsidRPr="5D8B6717">
        <w:t xml:space="preserve"> y la recibida por el resto de conceptos</w:t>
      </w:r>
      <w:r w:rsidR="4706E519" w:rsidRPr="5D8B6717">
        <w:t xml:space="preserve"> considerados ingresos computables</w:t>
      </w:r>
      <w:r w:rsidR="00FE1F21" w:rsidRPr="5D8B6717">
        <w:rPr>
          <w:rStyle w:val="Refdenotaalpie"/>
        </w:rPr>
        <w:footnoteReference w:id="9"/>
      </w:r>
      <w:r>
        <w:rPr>
          <w:szCs w:val="26"/>
        </w:rPr>
        <w:t xml:space="preserve">. </w:t>
      </w:r>
    </w:p>
    <w:p w14:paraId="12EAB87A" w14:textId="4F2B4FD9" w:rsidR="00131696" w:rsidRPr="00131696" w:rsidRDefault="00131696" w:rsidP="001E54B3">
      <w:pPr>
        <w:pStyle w:val="atitulo3"/>
        <w:spacing w:before="240"/>
      </w:pPr>
      <w:r w:rsidRPr="00131696">
        <w:t>Concepto y requisitos</w:t>
      </w:r>
    </w:p>
    <w:p w14:paraId="3A63E872" w14:textId="0BD91DF3" w:rsidR="00074BC5" w:rsidRPr="00A76A9C" w:rsidRDefault="62A9032F" w:rsidP="00A215EC">
      <w:pPr>
        <w:pStyle w:val="texto"/>
        <w:spacing w:after="140"/>
        <w:jc w:val="both"/>
      </w:pPr>
      <w:r>
        <w:t xml:space="preserve">La RG se define como una prestación básica, económica y periódica destinada a las </w:t>
      </w:r>
      <w:r w:rsidRPr="00A76A9C">
        <w:t xml:space="preserve">personas que no tienen cubiertas sus necesidades básicas. Es complementaria y subsidiaria de cualquier otra prestación económica a que se tenga derecho. </w:t>
      </w:r>
      <w:r w:rsidR="00611E49" w:rsidRPr="00A76A9C">
        <w:t xml:space="preserve"> </w:t>
      </w:r>
    </w:p>
    <w:p w14:paraId="5801ACAF" w14:textId="43EEC763" w:rsidR="00611E49" w:rsidRDefault="00611E49" w:rsidP="00A215EC">
      <w:pPr>
        <w:pStyle w:val="texto"/>
        <w:spacing w:after="140"/>
        <w:jc w:val="both"/>
      </w:pPr>
      <w:r w:rsidRPr="00A215EC">
        <w:rPr>
          <w:lang w:val="es-ES_tradnl"/>
        </w:rPr>
        <w:t>De hecho, existen otras prestaciones reguladas como ingresos computables de la unidad familiar, destinadas a garantizar un nivel mínimo de renta cuyo importe tiene un impacto</w:t>
      </w:r>
      <w:r w:rsidRPr="5D8B6717">
        <w:t xml:space="preserve"> directo en la cuantía a percibir de la RG como son el subsidio por desempleo</w:t>
      </w:r>
      <w:r w:rsidRPr="5D8B6717">
        <w:rPr>
          <w:rStyle w:val="Refdenotaalpie"/>
        </w:rPr>
        <w:footnoteReference w:id="10"/>
      </w:r>
      <w:r w:rsidRPr="5D8B6717">
        <w:t xml:space="preserve">, la pensión no contributiva de jubilación o invalidez, o el IMV. </w:t>
      </w:r>
    </w:p>
    <w:p w14:paraId="3719A140" w14:textId="77777777" w:rsidR="00131696" w:rsidRDefault="00131696">
      <w:pPr>
        <w:spacing w:after="160" w:line="259" w:lineRule="auto"/>
        <w:rPr>
          <w:spacing w:val="6"/>
          <w:sz w:val="26"/>
        </w:rPr>
      </w:pPr>
      <w:r>
        <w:br w:type="page"/>
      </w:r>
    </w:p>
    <w:p w14:paraId="5839D188" w14:textId="5A0CC620" w:rsidR="00FE1F21" w:rsidRDefault="62A9032F" w:rsidP="00A215EC">
      <w:pPr>
        <w:pStyle w:val="texto"/>
        <w:spacing w:after="140"/>
        <w:jc w:val="both"/>
      </w:pPr>
      <w:r>
        <w:lastRenderedPageBreak/>
        <w:t xml:space="preserve">Tienen derecho a la RG las personas que cumplen los siguientes requisitos: </w:t>
      </w:r>
    </w:p>
    <w:p w14:paraId="4EFE6894" w14:textId="55A1AEAE" w:rsidR="00570102" w:rsidRPr="002377DF" w:rsidRDefault="2AA50188"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rsidRPr="3896A6D9">
        <w:rPr>
          <w:rFonts w:eastAsia="Calibri"/>
        </w:rPr>
        <w:t xml:space="preserve">Personas </w:t>
      </w:r>
      <w:r w:rsidRPr="3896A6D9">
        <w:rPr>
          <w:lang w:eastAsia="en-US"/>
        </w:rPr>
        <w:t>mayores</w:t>
      </w:r>
      <w:r w:rsidRPr="3896A6D9">
        <w:rPr>
          <w:rFonts w:eastAsia="Calibri"/>
        </w:rPr>
        <w:t xml:space="preserve"> de 18 años o menores emancipados o emancipadas.</w:t>
      </w:r>
      <w:r>
        <w:br/>
      </w:r>
      <w:r w:rsidRPr="3896A6D9">
        <w:rPr>
          <w:rFonts w:eastAsia="Calibri"/>
        </w:rPr>
        <w:t>En el caso de tener entre 18 y 24 años, sin menores a su cargo, deberán haber vivido de forma independiente durante al menos dos años. Se entiende que se ha vivido de forma independiente si ha permanecido en situación de alta en la Seguridad Social durante al menos un año</w:t>
      </w:r>
      <w:r w:rsidR="005F087F">
        <w:rPr>
          <w:rFonts w:eastAsia="Calibri"/>
        </w:rPr>
        <w:t>,</w:t>
      </w:r>
      <w:r w:rsidRPr="3896A6D9">
        <w:rPr>
          <w:rFonts w:eastAsia="Calibri"/>
        </w:rPr>
        <w:t xml:space="preserve"> siempre que acredite que su domicilio ha sido distinto del de sus padres durante los dos últimos años.</w:t>
      </w:r>
    </w:p>
    <w:p w14:paraId="06B78581" w14:textId="68BF8240" w:rsidR="2AA50188" w:rsidRPr="002377DF" w:rsidRDefault="2AA50188"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rsidRPr="3896A6D9">
        <w:rPr>
          <w:rFonts w:eastAsia="Calibri"/>
        </w:rPr>
        <w:t xml:space="preserve">Residir en </w:t>
      </w:r>
      <w:r w:rsidRPr="3896A6D9">
        <w:rPr>
          <w:lang w:eastAsia="en-US"/>
        </w:rPr>
        <w:t>la</w:t>
      </w:r>
      <w:r w:rsidRPr="3896A6D9">
        <w:rPr>
          <w:rFonts w:eastAsia="Calibri"/>
        </w:rPr>
        <w:t xml:space="preserve"> Comunidad Foral de Navarra desde al menos dos años antes </w:t>
      </w:r>
      <w:r w:rsidR="10404CDB" w:rsidRPr="3896A6D9">
        <w:rPr>
          <w:rFonts w:eastAsia="Calibri"/>
        </w:rPr>
        <w:t>de</w:t>
      </w:r>
      <w:r w:rsidRPr="3896A6D9">
        <w:rPr>
          <w:rFonts w:eastAsia="Calibri"/>
        </w:rPr>
        <w:t xml:space="preserve"> la presentación de la solicitud, o un año en los casos en los que en la unidad familiar hay</w:t>
      </w:r>
      <w:r w:rsidR="005F087F">
        <w:rPr>
          <w:rFonts w:eastAsia="Calibri"/>
        </w:rPr>
        <w:t>a</w:t>
      </w:r>
      <w:r w:rsidRPr="3896A6D9">
        <w:rPr>
          <w:rFonts w:eastAsia="Calibri"/>
        </w:rPr>
        <w:t xml:space="preserve"> menores o personas dependientes o con una discapacidad superior al 65</w:t>
      </w:r>
      <w:r w:rsidR="00570102" w:rsidRPr="3896A6D9">
        <w:rPr>
          <w:rFonts w:eastAsia="Calibri"/>
        </w:rPr>
        <w:t xml:space="preserve"> por ciento</w:t>
      </w:r>
      <w:r w:rsidRPr="3896A6D9">
        <w:rPr>
          <w:rFonts w:eastAsia="Calibri"/>
        </w:rPr>
        <w:t>.</w:t>
      </w:r>
      <w:r w:rsidR="005F087F" w:rsidRPr="005F087F">
        <w:rPr>
          <w:rFonts w:eastAsia="Calibri"/>
        </w:rPr>
        <w:t xml:space="preserve"> </w:t>
      </w:r>
      <w:r w:rsidR="005F087F" w:rsidRPr="007463BF">
        <w:rPr>
          <w:rStyle w:val="Refdenotaalpie"/>
        </w:rPr>
        <w:footnoteReference w:id="11"/>
      </w:r>
      <w:r w:rsidR="005F087F" w:rsidRPr="007463BF">
        <w:rPr>
          <w:rStyle w:val="Refdenotaalpie"/>
        </w:rPr>
        <w:t xml:space="preserve"> </w:t>
      </w:r>
      <w:r w:rsidR="005F087F">
        <w:rPr>
          <w:rFonts w:eastAsia="Calibri"/>
        </w:rPr>
        <w:t xml:space="preserve">  </w:t>
      </w:r>
    </w:p>
    <w:p w14:paraId="58C224E6" w14:textId="46D21A81" w:rsidR="00570102" w:rsidRPr="002377DF" w:rsidRDefault="2AA50188" w:rsidP="001E54B3">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rPr>
      </w:pPr>
      <w:r w:rsidRPr="002377DF">
        <w:rPr>
          <w:rFonts w:eastAsia="Calibri"/>
          <w:szCs w:val="26"/>
        </w:rPr>
        <w:t xml:space="preserve">Carecer de medios suficientes para cubrir sus necesidades básicas. Se considera que existe carencia cuando la capacidad económica de quien la solicita y de las demás personas integrantes de la unidad familiar es inferior, en conjunto, a la cuantía que establece la </w:t>
      </w:r>
      <w:r w:rsidR="00570102" w:rsidRPr="002377DF">
        <w:rPr>
          <w:rFonts w:eastAsia="Calibri"/>
          <w:szCs w:val="26"/>
        </w:rPr>
        <w:t>RG</w:t>
      </w:r>
      <w:r w:rsidRPr="002377DF">
        <w:rPr>
          <w:rFonts w:eastAsia="Calibri"/>
          <w:szCs w:val="26"/>
        </w:rPr>
        <w:t xml:space="preserve"> para dicha unidad, de acuerdo al número de miembros que la integran.</w:t>
      </w:r>
    </w:p>
    <w:p w14:paraId="778BA64A" w14:textId="166A245A" w:rsidR="2AA50188" w:rsidRPr="002377DF" w:rsidRDefault="2AA50188"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rsidRPr="3896A6D9">
        <w:rPr>
          <w:rFonts w:eastAsia="Calibri"/>
        </w:rPr>
        <w:t xml:space="preserve">Haber </w:t>
      </w:r>
      <w:r w:rsidRPr="3896A6D9">
        <w:rPr>
          <w:lang w:eastAsia="en-US"/>
        </w:rPr>
        <w:t>solicitado</w:t>
      </w:r>
      <w:r w:rsidRPr="3896A6D9">
        <w:rPr>
          <w:rFonts w:eastAsia="Calibri"/>
        </w:rPr>
        <w:t xml:space="preserve"> previamente, de cualquiera de las </w:t>
      </w:r>
      <w:r w:rsidR="704F75F3" w:rsidRPr="3896A6D9">
        <w:rPr>
          <w:rFonts w:eastAsia="Calibri"/>
        </w:rPr>
        <w:t>a</w:t>
      </w:r>
      <w:r w:rsidRPr="3896A6D9">
        <w:rPr>
          <w:rFonts w:eastAsia="Calibri"/>
        </w:rPr>
        <w:t>dministraciones competentes, las prestaciones, pensiones o subsidios de toda índole que puedan corresponder, así como ejercer las acciones legales para el establecimiento y pago de pensiones por alimentos y/o compensatorias.</w:t>
      </w:r>
    </w:p>
    <w:p w14:paraId="608BA8F6" w14:textId="36ABEF4F" w:rsidR="00131696" w:rsidRPr="00131696" w:rsidRDefault="00131696" w:rsidP="00AA6D0F">
      <w:pPr>
        <w:pStyle w:val="texto"/>
        <w:spacing w:before="240" w:after="240"/>
        <w:ind w:firstLine="0"/>
        <w:jc w:val="both"/>
        <w:rPr>
          <w:rFonts w:ascii="Arial" w:hAnsi="Arial" w:cs="Arial"/>
          <w:i/>
          <w:iCs/>
        </w:rPr>
      </w:pPr>
      <w:r>
        <w:rPr>
          <w:rFonts w:ascii="Arial" w:hAnsi="Arial" w:cs="Arial"/>
          <w:i/>
          <w:iCs/>
        </w:rPr>
        <w:t>Cuantías máximas</w:t>
      </w:r>
    </w:p>
    <w:p w14:paraId="526B5F55" w14:textId="07005D5D" w:rsidR="00FE1F21" w:rsidRDefault="00FE1F21" w:rsidP="00CC5754">
      <w:pPr>
        <w:pStyle w:val="texto"/>
        <w:spacing w:after="240"/>
        <w:jc w:val="both"/>
      </w:pPr>
      <w:r>
        <w:t xml:space="preserve">Las cuantías máximas </w:t>
      </w:r>
      <w:r w:rsidRPr="3896A6D9">
        <w:t>mensuales</w:t>
      </w:r>
      <w:r w:rsidR="2CF5DA58" w:rsidRPr="3896A6D9">
        <w:t xml:space="preserve"> de RG</w:t>
      </w:r>
      <w:r>
        <w:t xml:space="preserve"> por unidad familiar en función de sus miembros en el periodo 2019-2023 y su comparación con el salario mínimo interprofesional (SMI) son las siguientes:</w:t>
      </w:r>
      <w:r w:rsidR="00CC5754">
        <w:t xml:space="preserve"> </w:t>
      </w:r>
    </w:p>
    <w:tbl>
      <w:tblPr>
        <w:tblW w:w="878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846"/>
        <w:gridCol w:w="1200"/>
        <w:gridCol w:w="860"/>
        <w:gridCol w:w="860"/>
        <w:gridCol w:w="860"/>
        <w:gridCol w:w="860"/>
        <w:gridCol w:w="860"/>
        <w:gridCol w:w="1162"/>
        <w:gridCol w:w="1281"/>
      </w:tblGrid>
      <w:tr w:rsidR="00FE1F21" w:rsidRPr="00BF6B50" w14:paraId="6651C8D0" w14:textId="77777777" w:rsidTr="00297CB2">
        <w:trPr>
          <w:trHeight w:val="255"/>
        </w:trPr>
        <w:tc>
          <w:tcPr>
            <w:tcW w:w="846" w:type="dxa"/>
            <w:vMerge w:val="restart"/>
            <w:shd w:val="clear" w:color="auto" w:fill="9CC2E5" w:themeFill="accent1" w:themeFillTint="99"/>
            <w:noWrap/>
            <w:vAlign w:val="bottom"/>
          </w:tcPr>
          <w:p w14:paraId="5997CC1D" w14:textId="77777777" w:rsidR="00FE1F21" w:rsidRPr="00BF6B50" w:rsidRDefault="00FE1F21" w:rsidP="00FC6A03">
            <w:pPr>
              <w:jc w:val="center"/>
              <w:rPr>
                <w:rFonts w:ascii="Arial" w:hAnsi="Arial" w:cs="Arial"/>
                <w:color w:val="000000"/>
                <w:sz w:val="18"/>
                <w:szCs w:val="18"/>
              </w:rPr>
            </w:pPr>
          </w:p>
        </w:tc>
        <w:tc>
          <w:tcPr>
            <w:tcW w:w="1200" w:type="dxa"/>
            <w:vMerge w:val="restart"/>
            <w:tcBorders>
              <w:right w:val="single" w:sz="2" w:space="0" w:color="auto"/>
            </w:tcBorders>
            <w:shd w:val="clear" w:color="auto" w:fill="9CC2E5" w:themeFill="accent1" w:themeFillTint="99"/>
            <w:noWrap/>
            <w:vAlign w:val="center"/>
          </w:tcPr>
          <w:p w14:paraId="4A146960" w14:textId="77777777" w:rsidR="00FE1F21" w:rsidRPr="00BF6B50" w:rsidRDefault="00FE1F21" w:rsidP="00FC6A03">
            <w:pPr>
              <w:jc w:val="right"/>
              <w:rPr>
                <w:rFonts w:ascii="Arial" w:hAnsi="Arial" w:cs="Arial"/>
                <w:color w:val="000000"/>
                <w:sz w:val="18"/>
                <w:szCs w:val="18"/>
              </w:rPr>
            </w:pPr>
            <w:r w:rsidRPr="00BF6B50">
              <w:rPr>
                <w:rFonts w:ascii="Arial" w:hAnsi="Arial" w:cs="Arial"/>
                <w:color w:val="000000"/>
                <w:sz w:val="18"/>
                <w:szCs w:val="18"/>
              </w:rPr>
              <w:t>% incremento</w:t>
            </w:r>
          </w:p>
        </w:tc>
        <w:tc>
          <w:tcPr>
            <w:tcW w:w="5462" w:type="dxa"/>
            <w:gridSpan w:val="6"/>
            <w:tcBorders>
              <w:left w:val="single" w:sz="2" w:space="0" w:color="auto"/>
              <w:bottom w:val="single" w:sz="2" w:space="0" w:color="auto"/>
              <w:right w:val="single" w:sz="2" w:space="0" w:color="auto"/>
            </w:tcBorders>
            <w:shd w:val="clear" w:color="auto" w:fill="9CC2E5" w:themeFill="accent1" w:themeFillTint="99"/>
            <w:noWrap/>
            <w:vAlign w:val="center"/>
          </w:tcPr>
          <w:p w14:paraId="7837A919" w14:textId="77777777" w:rsidR="00FE1F21" w:rsidRPr="00BF6B50" w:rsidRDefault="00FE1F21" w:rsidP="00FC6A03">
            <w:pPr>
              <w:jc w:val="center"/>
              <w:rPr>
                <w:rFonts w:ascii="Arial" w:hAnsi="Arial" w:cs="Arial"/>
                <w:color w:val="000000"/>
                <w:sz w:val="18"/>
                <w:szCs w:val="18"/>
              </w:rPr>
            </w:pPr>
            <w:r w:rsidRPr="00BF6B50">
              <w:rPr>
                <w:rFonts w:ascii="Arial" w:hAnsi="Arial" w:cs="Arial"/>
                <w:color w:val="000000"/>
                <w:sz w:val="18"/>
                <w:szCs w:val="18"/>
              </w:rPr>
              <w:t>Número miembros</w:t>
            </w:r>
          </w:p>
        </w:tc>
        <w:tc>
          <w:tcPr>
            <w:tcW w:w="1281" w:type="dxa"/>
            <w:tcBorders>
              <w:left w:val="single" w:sz="2" w:space="0" w:color="auto"/>
              <w:bottom w:val="single" w:sz="2" w:space="0" w:color="auto"/>
            </w:tcBorders>
            <w:shd w:val="clear" w:color="auto" w:fill="9CC2E5" w:themeFill="accent1" w:themeFillTint="99"/>
            <w:noWrap/>
            <w:vAlign w:val="center"/>
          </w:tcPr>
          <w:p w14:paraId="110FFD37" w14:textId="77777777" w:rsidR="00FE1F21" w:rsidRPr="00BF6B50" w:rsidRDefault="00FE1F21" w:rsidP="00FC6A03">
            <w:pPr>
              <w:jc w:val="right"/>
              <w:rPr>
                <w:rFonts w:ascii="Arial" w:hAnsi="Arial" w:cs="Arial"/>
                <w:color w:val="000000"/>
                <w:sz w:val="18"/>
                <w:szCs w:val="18"/>
              </w:rPr>
            </w:pPr>
          </w:p>
        </w:tc>
      </w:tr>
      <w:tr w:rsidR="00FE1F21" w:rsidRPr="00BF6B50" w14:paraId="1A0F72CB" w14:textId="77777777" w:rsidTr="00297CB2">
        <w:trPr>
          <w:trHeight w:val="255"/>
        </w:trPr>
        <w:tc>
          <w:tcPr>
            <w:tcW w:w="846" w:type="dxa"/>
            <w:vMerge/>
            <w:shd w:val="clear" w:color="auto" w:fill="9CC2E5" w:themeFill="accent1" w:themeFillTint="99"/>
            <w:noWrap/>
            <w:vAlign w:val="bottom"/>
            <w:hideMark/>
          </w:tcPr>
          <w:p w14:paraId="6B699379" w14:textId="77777777" w:rsidR="00FE1F21" w:rsidRPr="00BF6B50" w:rsidRDefault="00FE1F21" w:rsidP="00FC6A03">
            <w:pPr>
              <w:jc w:val="center"/>
              <w:rPr>
                <w:rFonts w:ascii="Arial" w:hAnsi="Arial" w:cs="Arial"/>
                <w:color w:val="000000"/>
                <w:sz w:val="18"/>
                <w:szCs w:val="18"/>
              </w:rPr>
            </w:pPr>
          </w:p>
        </w:tc>
        <w:tc>
          <w:tcPr>
            <w:tcW w:w="1200" w:type="dxa"/>
            <w:vMerge/>
            <w:tcBorders>
              <w:right w:val="single" w:sz="2" w:space="0" w:color="auto"/>
            </w:tcBorders>
            <w:shd w:val="clear" w:color="auto" w:fill="9CC2E5" w:themeFill="accent1" w:themeFillTint="99"/>
            <w:noWrap/>
            <w:vAlign w:val="center"/>
            <w:hideMark/>
          </w:tcPr>
          <w:p w14:paraId="3FE9F23F" w14:textId="77777777" w:rsidR="00FE1F21" w:rsidRPr="00BF6B50" w:rsidRDefault="00FE1F21" w:rsidP="00FC6A03">
            <w:pPr>
              <w:jc w:val="right"/>
              <w:rPr>
                <w:rFonts w:ascii="Arial" w:hAnsi="Arial" w:cs="Arial"/>
                <w:color w:val="000000"/>
                <w:sz w:val="18"/>
                <w:szCs w:val="18"/>
              </w:rPr>
            </w:pPr>
          </w:p>
        </w:tc>
        <w:tc>
          <w:tcPr>
            <w:tcW w:w="860" w:type="dxa"/>
            <w:tcBorders>
              <w:top w:val="single" w:sz="2" w:space="0" w:color="auto"/>
              <w:left w:val="single" w:sz="2" w:space="0" w:color="auto"/>
            </w:tcBorders>
            <w:shd w:val="clear" w:color="auto" w:fill="9CC2E5" w:themeFill="accent1" w:themeFillTint="99"/>
            <w:noWrap/>
            <w:vAlign w:val="center"/>
            <w:hideMark/>
          </w:tcPr>
          <w:p w14:paraId="0382A262" w14:textId="77777777" w:rsidR="00FE1F21" w:rsidRPr="00BF6B50" w:rsidRDefault="00FE1F21" w:rsidP="00FC6A03">
            <w:pPr>
              <w:jc w:val="right"/>
              <w:rPr>
                <w:rFonts w:ascii="Arial" w:hAnsi="Arial" w:cs="Arial"/>
                <w:color w:val="000000"/>
                <w:sz w:val="18"/>
                <w:szCs w:val="18"/>
              </w:rPr>
            </w:pPr>
            <w:r>
              <w:rPr>
                <w:rFonts w:ascii="Arial" w:hAnsi="Arial" w:cs="Arial"/>
                <w:color w:val="000000"/>
                <w:sz w:val="18"/>
                <w:szCs w:val="18"/>
              </w:rPr>
              <w:t>Uno</w:t>
            </w:r>
          </w:p>
        </w:tc>
        <w:tc>
          <w:tcPr>
            <w:tcW w:w="860" w:type="dxa"/>
            <w:tcBorders>
              <w:top w:val="single" w:sz="2" w:space="0" w:color="auto"/>
            </w:tcBorders>
            <w:shd w:val="clear" w:color="auto" w:fill="9CC2E5" w:themeFill="accent1" w:themeFillTint="99"/>
            <w:noWrap/>
            <w:vAlign w:val="center"/>
            <w:hideMark/>
          </w:tcPr>
          <w:p w14:paraId="4F3A8D13" w14:textId="77777777" w:rsidR="00FE1F21" w:rsidRPr="00BF6B50" w:rsidRDefault="00FE1F21" w:rsidP="00FC6A03">
            <w:pPr>
              <w:jc w:val="right"/>
              <w:rPr>
                <w:rFonts w:ascii="Arial" w:hAnsi="Arial" w:cs="Arial"/>
                <w:color w:val="000000"/>
                <w:sz w:val="18"/>
                <w:szCs w:val="18"/>
              </w:rPr>
            </w:pPr>
            <w:r>
              <w:rPr>
                <w:rFonts w:ascii="Arial" w:hAnsi="Arial" w:cs="Arial"/>
                <w:color w:val="000000"/>
                <w:sz w:val="18"/>
                <w:szCs w:val="18"/>
              </w:rPr>
              <w:t>Dos</w:t>
            </w:r>
          </w:p>
        </w:tc>
        <w:tc>
          <w:tcPr>
            <w:tcW w:w="860" w:type="dxa"/>
            <w:tcBorders>
              <w:top w:val="single" w:sz="2" w:space="0" w:color="auto"/>
            </w:tcBorders>
            <w:shd w:val="clear" w:color="auto" w:fill="9CC2E5" w:themeFill="accent1" w:themeFillTint="99"/>
            <w:noWrap/>
            <w:vAlign w:val="center"/>
            <w:hideMark/>
          </w:tcPr>
          <w:p w14:paraId="42A441B6" w14:textId="77777777" w:rsidR="00FE1F21" w:rsidRPr="00BF6B50" w:rsidRDefault="00FE1F21" w:rsidP="00FC6A03">
            <w:pPr>
              <w:jc w:val="right"/>
              <w:rPr>
                <w:rFonts w:ascii="Arial" w:hAnsi="Arial" w:cs="Arial"/>
                <w:color w:val="000000"/>
                <w:sz w:val="18"/>
                <w:szCs w:val="18"/>
              </w:rPr>
            </w:pPr>
            <w:r>
              <w:rPr>
                <w:rFonts w:ascii="Arial" w:hAnsi="Arial" w:cs="Arial"/>
                <w:color w:val="000000"/>
                <w:sz w:val="18"/>
                <w:szCs w:val="18"/>
              </w:rPr>
              <w:t>Tres</w:t>
            </w:r>
          </w:p>
        </w:tc>
        <w:tc>
          <w:tcPr>
            <w:tcW w:w="860" w:type="dxa"/>
            <w:tcBorders>
              <w:top w:val="single" w:sz="2" w:space="0" w:color="auto"/>
            </w:tcBorders>
            <w:shd w:val="clear" w:color="auto" w:fill="9CC2E5" w:themeFill="accent1" w:themeFillTint="99"/>
            <w:noWrap/>
            <w:vAlign w:val="center"/>
            <w:hideMark/>
          </w:tcPr>
          <w:p w14:paraId="36A8EB39" w14:textId="77777777" w:rsidR="00FE1F21" w:rsidRPr="00BF6B50" w:rsidRDefault="00FE1F21" w:rsidP="00FC6A03">
            <w:pPr>
              <w:jc w:val="right"/>
              <w:rPr>
                <w:rFonts w:ascii="Arial" w:hAnsi="Arial" w:cs="Arial"/>
                <w:color w:val="000000"/>
                <w:sz w:val="18"/>
                <w:szCs w:val="18"/>
              </w:rPr>
            </w:pPr>
            <w:r>
              <w:rPr>
                <w:rFonts w:ascii="Arial" w:hAnsi="Arial" w:cs="Arial"/>
                <w:color w:val="000000"/>
                <w:sz w:val="18"/>
                <w:szCs w:val="18"/>
              </w:rPr>
              <w:t>Cuatro</w:t>
            </w:r>
          </w:p>
        </w:tc>
        <w:tc>
          <w:tcPr>
            <w:tcW w:w="860" w:type="dxa"/>
            <w:tcBorders>
              <w:top w:val="single" w:sz="2" w:space="0" w:color="auto"/>
            </w:tcBorders>
            <w:shd w:val="clear" w:color="auto" w:fill="9CC2E5" w:themeFill="accent1" w:themeFillTint="99"/>
            <w:noWrap/>
            <w:vAlign w:val="center"/>
            <w:hideMark/>
          </w:tcPr>
          <w:p w14:paraId="292E8ABF" w14:textId="77777777" w:rsidR="00FE1F21" w:rsidRPr="00BF6B50" w:rsidRDefault="00FE1F21" w:rsidP="00FC6A03">
            <w:pPr>
              <w:jc w:val="right"/>
              <w:rPr>
                <w:rFonts w:ascii="Arial" w:hAnsi="Arial" w:cs="Arial"/>
                <w:color w:val="000000"/>
                <w:sz w:val="18"/>
                <w:szCs w:val="18"/>
              </w:rPr>
            </w:pPr>
            <w:r>
              <w:rPr>
                <w:rFonts w:ascii="Arial" w:hAnsi="Arial" w:cs="Arial"/>
                <w:color w:val="000000"/>
                <w:sz w:val="18"/>
                <w:szCs w:val="18"/>
              </w:rPr>
              <w:t>Cinco</w:t>
            </w:r>
          </w:p>
        </w:tc>
        <w:tc>
          <w:tcPr>
            <w:tcW w:w="1162" w:type="dxa"/>
            <w:tcBorders>
              <w:top w:val="single" w:sz="2" w:space="0" w:color="auto"/>
              <w:right w:val="single" w:sz="2" w:space="0" w:color="auto"/>
            </w:tcBorders>
            <w:shd w:val="clear" w:color="auto" w:fill="9CC2E5" w:themeFill="accent1" w:themeFillTint="99"/>
            <w:noWrap/>
            <w:vAlign w:val="center"/>
            <w:hideMark/>
          </w:tcPr>
          <w:p w14:paraId="0F094316" w14:textId="77777777" w:rsidR="00FE1F21" w:rsidRPr="00BF6B50" w:rsidRDefault="00FE1F21" w:rsidP="00FC6A03">
            <w:pPr>
              <w:jc w:val="right"/>
              <w:rPr>
                <w:rFonts w:ascii="Arial" w:hAnsi="Arial" w:cs="Arial"/>
                <w:color w:val="000000"/>
                <w:sz w:val="18"/>
                <w:szCs w:val="18"/>
              </w:rPr>
            </w:pPr>
            <w:r>
              <w:rPr>
                <w:rFonts w:ascii="Arial" w:hAnsi="Arial" w:cs="Arial"/>
                <w:color w:val="000000"/>
                <w:sz w:val="18"/>
                <w:szCs w:val="18"/>
              </w:rPr>
              <w:t>Seis o más</w:t>
            </w:r>
          </w:p>
        </w:tc>
        <w:tc>
          <w:tcPr>
            <w:tcW w:w="1281" w:type="dxa"/>
            <w:tcBorders>
              <w:top w:val="single" w:sz="2" w:space="0" w:color="auto"/>
              <w:left w:val="single" w:sz="2" w:space="0" w:color="auto"/>
            </w:tcBorders>
            <w:shd w:val="clear" w:color="auto" w:fill="9CC2E5" w:themeFill="accent1" w:themeFillTint="99"/>
            <w:noWrap/>
            <w:vAlign w:val="center"/>
            <w:hideMark/>
          </w:tcPr>
          <w:p w14:paraId="421A7BD9" w14:textId="77777777" w:rsidR="00FE1F21" w:rsidRPr="00BF6B50" w:rsidRDefault="00FE1F21" w:rsidP="00FC6A03">
            <w:pPr>
              <w:jc w:val="right"/>
              <w:rPr>
                <w:rFonts w:ascii="Arial" w:hAnsi="Arial" w:cs="Arial"/>
                <w:color w:val="000000"/>
                <w:sz w:val="18"/>
                <w:szCs w:val="18"/>
              </w:rPr>
            </w:pPr>
            <w:r w:rsidRPr="00BF6B50">
              <w:rPr>
                <w:rFonts w:ascii="Arial" w:hAnsi="Arial" w:cs="Arial"/>
                <w:color w:val="000000"/>
                <w:sz w:val="18"/>
                <w:szCs w:val="18"/>
              </w:rPr>
              <w:t>SMI</w:t>
            </w:r>
          </w:p>
        </w:tc>
      </w:tr>
      <w:tr w:rsidR="00FE1F21" w:rsidRPr="00150691" w14:paraId="01BD5544" w14:textId="77777777" w:rsidTr="00297CB2">
        <w:trPr>
          <w:trHeight w:val="198"/>
        </w:trPr>
        <w:tc>
          <w:tcPr>
            <w:tcW w:w="846" w:type="dxa"/>
            <w:tcBorders>
              <w:bottom w:val="single" w:sz="2" w:space="0" w:color="auto"/>
            </w:tcBorders>
            <w:shd w:val="clear" w:color="auto" w:fill="auto"/>
            <w:noWrap/>
            <w:vAlign w:val="center"/>
            <w:hideMark/>
          </w:tcPr>
          <w:p w14:paraId="59DEC491" w14:textId="77777777" w:rsidR="00FE1F21" w:rsidRPr="00150691" w:rsidRDefault="00FE1F21" w:rsidP="00FC6A03">
            <w:pPr>
              <w:jc w:val="center"/>
              <w:rPr>
                <w:rFonts w:ascii="Arial Narrow" w:hAnsi="Arial Narrow" w:cs="Calibri"/>
                <w:color w:val="000000"/>
                <w:sz w:val="20"/>
                <w:szCs w:val="20"/>
              </w:rPr>
            </w:pPr>
            <w:r w:rsidRPr="00150691">
              <w:rPr>
                <w:rFonts w:ascii="Arial Narrow" w:hAnsi="Arial Narrow" w:cs="Calibri"/>
                <w:color w:val="000000"/>
                <w:sz w:val="20"/>
                <w:szCs w:val="20"/>
              </w:rPr>
              <w:t>2019</w:t>
            </w:r>
          </w:p>
        </w:tc>
        <w:tc>
          <w:tcPr>
            <w:tcW w:w="1200" w:type="dxa"/>
            <w:tcBorders>
              <w:bottom w:val="single" w:sz="2" w:space="0" w:color="auto"/>
              <w:right w:val="single" w:sz="2" w:space="0" w:color="auto"/>
            </w:tcBorders>
            <w:shd w:val="clear" w:color="auto" w:fill="auto"/>
            <w:noWrap/>
            <w:vAlign w:val="center"/>
            <w:hideMark/>
          </w:tcPr>
          <w:p w14:paraId="66A0A597"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2,10</w:t>
            </w:r>
          </w:p>
        </w:tc>
        <w:tc>
          <w:tcPr>
            <w:tcW w:w="860" w:type="dxa"/>
            <w:tcBorders>
              <w:left w:val="single" w:sz="2" w:space="0" w:color="auto"/>
              <w:bottom w:val="single" w:sz="2" w:space="0" w:color="auto"/>
            </w:tcBorders>
            <w:shd w:val="clear" w:color="auto" w:fill="auto"/>
            <w:noWrap/>
            <w:vAlign w:val="center"/>
            <w:hideMark/>
          </w:tcPr>
          <w:p w14:paraId="082AC96F"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624</w:t>
            </w:r>
          </w:p>
        </w:tc>
        <w:tc>
          <w:tcPr>
            <w:tcW w:w="860" w:type="dxa"/>
            <w:tcBorders>
              <w:bottom w:val="single" w:sz="2" w:space="0" w:color="auto"/>
            </w:tcBorders>
            <w:shd w:val="clear" w:color="auto" w:fill="auto"/>
            <w:noWrap/>
            <w:vAlign w:val="center"/>
            <w:hideMark/>
          </w:tcPr>
          <w:p w14:paraId="6BB94B3D"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842</w:t>
            </w:r>
          </w:p>
        </w:tc>
        <w:tc>
          <w:tcPr>
            <w:tcW w:w="860" w:type="dxa"/>
            <w:tcBorders>
              <w:bottom w:val="single" w:sz="2" w:space="0" w:color="auto"/>
            </w:tcBorders>
            <w:shd w:val="clear" w:color="auto" w:fill="auto"/>
            <w:noWrap/>
            <w:vAlign w:val="center"/>
            <w:hideMark/>
          </w:tcPr>
          <w:p w14:paraId="7FA0714C"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998</w:t>
            </w:r>
          </w:p>
        </w:tc>
        <w:tc>
          <w:tcPr>
            <w:tcW w:w="860" w:type="dxa"/>
            <w:tcBorders>
              <w:bottom w:val="single" w:sz="2" w:space="0" w:color="auto"/>
            </w:tcBorders>
            <w:shd w:val="clear" w:color="auto" w:fill="auto"/>
            <w:noWrap/>
            <w:vAlign w:val="center"/>
            <w:hideMark/>
          </w:tcPr>
          <w:p w14:paraId="03F08188"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1.091</w:t>
            </w:r>
          </w:p>
        </w:tc>
        <w:tc>
          <w:tcPr>
            <w:tcW w:w="860" w:type="dxa"/>
            <w:tcBorders>
              <w:bottom w:val="single" w:sz="2" w:space="0" w:color="auto"/>
            </w:tcBorders>
            <w:shd w:val="clear" w:color="auto" w:fill="auto"/>
            <w:noWrap/>
            <w:vAlign w:val="center"/>
            <w:hideMark/>
          </w:tcPr>
          <w:p w14:paraId="78BD033A"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1.185</w:t>
            </w:r>
          </w:p>
        </w:tc>
        <w:tc>
          <w:tcPr>
            <w:tcW w:w="1162" w:type="dxa"/>
            <w:tcBorders>
              <w:bottom w:val="single" w:sz="2" w:space="0" w:color="auto"/>
              <w:right w:val="single" w:sz="2" w:space="0" w:color="auto"/>
            </w:tcBorders>
            <w:shd w:val="clear" w:color="auto" w:fill="auto"/>
            <w:noWrap/>
            <w:vAlign w:val="center"/>
            <w:hideMark/>
          </w:tcPr>
          <w:p w14:paraId="1A876C02"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1.247</w:t>
            </w:r>
          </w:p>
        </w:tc>
        <w:tc>
          <w:tcPr>
            <w:tcW w:w="1281" w:type="dxa"/>
            <w:tcBorders>
              <w:left w:val="single" w:sz="2" w:space="0" w:color="auto"/>
              <w:bottom w:val="single" w:sz="2" w:space="0" w:color="auto"/>
            </w:tcBorders>
            <w:shd w:val="clear" w:color="auto" w:fill="auto"/>
            <w:noWrap/>
            <w:vAlign w:val="center"/>
            <w:hideMark/>
          </w:tcPr>
          <w:p w14:paraId="71E46982" w14:textId="3019896F" w:rsidR="00FE1F21" w:rsidRPr="00150691" w:rsidRDefault="00E558C5" w:rsidP="00FC6A03">
            <w:pPr>
              <w:jc w:val="right"/>
              <w:rPr>
                <w:rFonts w:ascii="Arial Narrow" w:hAnsi="Arial Narrow" w:cs="Calibri"/>
                <w:color w:val="000000"/>
                <w:sz w:val="20"/>
                <w:szCs w:val="20"/>
              </w:rPr>
            </w:pPr>
            <w:r>
              <w:rPr>
                <w:rFonts w:ascii="Arial Narrow" w:hAnsi="Arial Narrow" w:cs="Calibri"/>
                <w:color w:val="000000"/>
                <w:sz w:val="20"/>
                <w:szCs w:val="20"/>
              </w:rPr>
              <w:t>1.050</w:t>
            </w:r>
          </w:p>
        </w:tc>
      </w:tr>
      <w:tr w:rsidR="00FE1F21" w:rsidRPr="00150691" w14:paraId="091E9426" w14:textId="77777777" w:rsidTr="00297CB2">
        <w:trPr>
          <w:trHeight w:val="198"/>
        </w:trPr>
        <w:tc>
          <w:tcPr>
            <w:tcW w:w="846" w:type="dxa"/>
            <w:tcBorders>
              <w:top w:val="single" w:sz="2" w:space="0" w:color="auto"/>
              <w:bottom w:val="single" w:sz="2" w:space="0" w:color="auto"/>
            </w:tcBorders>
            <w:shd w:val="clear" w:color="auto" w:fill="auto"/>
            <w:noWrap/>
            <w:vAlign w:val="center"/>
            <w:hideMark/>
          </w:tcPr>
          <w:p w14:paraId="42B71CCD" w14:textId="77777777" w:rsidR="00FE1F21" w:rsidRPr="00150691" w:rsidRDefault="00FE1F21" w:rsidP="00FC6A03">
            <w:pPr>
              <w:jc w:val="center"/>
              <w:rPr>
                <w:rFonts w:ascii="Arial Narrow" w:hAnsi="Arial Narrow" w:cs="Calibri"/>
                <w:color w:val="000000"/>
                <w:sz w:val="20"/>
                <w:szCs w:val="20"/>
              </w:rPr>
            </w:pPr>
            <w:r w:rsidRPr="00150691">
              <w:rPr>
                <w:rFonts w:ascii="Arial Narrow" w:hAnsi="Arial Narrow" w:cs="Calibri"/>
                <w:color w:val="000000"/>
                <w:sz w:val="20"/>
                <w:szCs w:val="20"/>
              </w:rPr>
              <w:t>2020</w:t>
            </w:r>
          </w:p>
        </w:tc>
        <w:tc>
          <w:tcPr>
            <w:tcW w:w="1200" w:type="dxa"/>
            <w:tcBorders>
              <w:top w:val="single" w:sz="2" w:space="0" w:color="auto"/>
              <w:bottom w:val="single" w:sz="2" w:space="0" w:color="auto"/>
              <w:right w:val="single" w:sz="2" w:space="0" w:color="auto"/>
            </w:tcBorders>
            <w:shd w:val="clear" w:color="auto" w:fill="auto"/>
            <w:noWrap/>
            <w:vAlign w:val="center"/>
            <w:hideMark/>
          </w:tcPr>
          <w:p w14:paraId="686489CB"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2,10</w:t>
            </w:r>
          </w:p>
        </w:tc>
        <w:tc>
          <w:tcPr>
            <w:tcW w:w="860" w:type="dxa"/>
            <w:tcBorders>
              <w:top w:val="single" w:sz="2" w:space="0" w:color="auto"/>
              <w:left w:val="single" w:sz="2" w:space="0" w:color="auto"/>
              <w:bottom w:val="single" w:sz="2" w:space="0" w:color="auto"/>
            </w:tcBorders>
            <w:shd w:val="clear" w:color="auto" w:fill="auto"/>
            <w:noWrap/>
            <w:vAlign w:val="center"/>
            <w:hideMark/>
          </w:tcPr>
          <w:p w14:paraId="183D5B72"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637</w:t>
            </w:r>
          </w:p>
        </w:tc>
        <w:tc>
          <w:tcPr>
            <w:tcW w:w="860" w:type="dxa"/>
            <w:tcBorders>
              <w:top w:val="single" w:sz="2" w:space="0" w:color="auto"/>
              <w:bottom w:val="single" w:sz="2" w:space="0" w:color="auto"/>
            </w:tcBorders>
            <w:shd w:val="clear" w:color="auto" w:fill="auto"/>
            <w:noWrap/>
            <w:vAlign w:val="center"/>
            <w:hideMark/>
          </w:tcPr>
          <w:p w14:paraId="41014875"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860</w:t>
            </w:r>
          </w:p>
        </w:tc>
        <w:tc>
          <w:tcPr>
            <w:tcW w:w="860" w:type="dxa"/>
            <w:tcBorders>
              <w:top w:val="single" w:sz="2" w:space="0" w:color="auto"/>
              <w:bottom w:val="single" w:sz="2" w:space="0" w:color="auto"/>
            </w:tcBorders>
            <w:shd w:val="clear" w:color="auto" w:fill="auto"/>
            <w:noWrap/>
            <w:vAlign w:val="center"/>
            <w:hideMark/>
          </w:tcPr>
          <w:p w14:paraId="738A725F"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1.019</w:t>
            </w:r>
          </w:p>
        </w:tc>
        <w:tc>
          <w:tcPr>
            <w:tcW w:w="860" w:type="dxa"/>
            <w:tcBorders>
              <w:top w:val="single" w:sz="2" w:space="0" w:color="auto"/>
              <w:bottom w:val="single" w:sz="2" w:space="0" w:color="auto"/>
            </w:tcBorders>
            <w:shd w:val="clear" w:color="auto" w:fill="auto"/>
            <w:noWrap/>
            <w:vAlign w:val="center"/>
            <w:hideMark/>
          </w:tcPr>
          <w:p w14:paraId="2FF1284B"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1.114</w:t>
            </w:r>
          </w:p>
        </w:tc>
        <w:tc>
          <w:tcPr>
            <w:tcW w:w="860" w:type="dxa"/>
            <w:tcBorders>
              <w:top w:val="single" w:sz="2" w:space="0" w:color="auto"/>
              <w:bottom w:val="single" w:sz="2" w:space="0" w:color="auto"/>
            </w:tcBorders>
            <w:shd w:val="clear" w:color="auto" w:fill="auto"/>
            <w:noWrap/>
            <w:vAlign w:val="center"/>
            <w:hideMark/>
          </w:tcPr>
          <w:p w14:paraId="553EDA0B"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1.210</w:t>
            </w:r>
          </w:p>
        </w:tc>
        <w:tc>
          <w:tcPr>
            <w:tcW w:w="1162" w:type="dxa"/>
            <w:tcBorders>
              <w:top w:val="single" w:sz="2" w:space="0" w:color="auto"/>
              <w:bottom w:val="single" w:sz="2" w:space="0" w:color="auto"/>
              <w:right w:val="single" w:sz="2" w:space="0" w:color="auto"/>
            </w:tcBorders>
            <w:shd w:val="clear" w:color="auto" w:fill="auto"/>
            <w:noWrap/>
            <w:vAlign w:val="center"/>
            <w:hideMark/>
          </w:tcPr>
          <w:p w14:paraId="03323E16"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1.273</w:t>
            </w:r>
          </w:p>
        </w:tc>
        <w:tc>
          <w:tcPr>
            <w:tcW w:w="1281" w:type="dxa"/>
            <w:tcBorders>
              <w:top w:val="single" w:sz="2" w:space="0" w:color="auto"/>
              <w:left w:val="single" w:sz="2" w:space="0" w:color="auto"/>
              <w:bottom w:val="single" w:sz="2" w:space="0" w:color="auto"/>
            </w:tcBorders>
            <w:shd w:val="clear" w:color="auto" w:fill="auto"/>
            <w:noWrap/>
            <w:vAlign w:val="center"/>
            <w:hideMark/>
          </w:tcPr>
          <w:p w14:paraId="1AD5F80A" w14:textId="7B9C2C73" w:rsidR="00FE1F21" w:rsidRPr="00150691" w:rsidRDefault="00E558C5" w:rsidP="00FC6A03">
            <w:pPr>
              <w:jc w:val="right"/>
              <w:rPr>
                <w:rFonts w:ascii="Arial Narrow" w:hAnsi="Arial Narrow" w:cs="Calibri"/>
                <w:color w:val="000000"/>
                <w:sz w:val="20"/>
                <w:szCs w:val="20"/>
              </w:rPr>
            </w:pPr>
            <w:r>
              <w:rPr>
                <w:rFonts w:ascii="Arial Narrow" w:hAnsi="Arial Narrow" w:cs="Calibri"/>
                <w:color w:val="000000"/>
                <w:sz w:val="20"/>
                <w:szCs w:val="20"/>
              </w:rPr>
              <w:t>1.108</w:t>
            </w:r>
          </w:p>
        </w:tc>
      </w:tr>
      <w:tr w:rsidR="00FE1F21" w:rsidRPr="00150691" w14:paraId="19FC6C50" w14:textId="77777777" w:rsidTr="00297CB2">
        <w:trPr>
          <w:trHeight w:val="198"/>
        </w:trPr>
        <w:tc>
          <w:tcPr>
            <w:tcW w:w="846" w:type="dxa"/>
            <w:tcBorders>
              <w:top w:val="single" w:sz="2" w:space="0" w:color="auto"/>
              <w:bottom w:val="single" w:sz="2" w:space="0" w:color="auto"/>
            </w:tcBorders>
            <w:shd w:val="clear" w:color="auto" w:fill="auto"/>
            <w:noWrap/>
            <w:vAlign w:val="center"/>
            <w:hideMark/>
          </w:tcPr>
          <w:p w14:paraId="65B281B9" w14:textId="77777777" w:rsidR="00FE1F21" w:rsidRPr="00150691" w:rsidRDefault="00FE1F21" w:rsidP="00FC6A03">
            <w:pPr>
              <w:jc w:val="center"/>
              <w:rPr>
                <w:rFonts w:ascii="Arial Narrow" w:hAnsi="Arial Narrow" w:cs="Calibri"/>
                <w:color w:val="000000"/>
                <w:sz w:val="20"/>
                <w:szCs w:val="20"/>
              </w:rPr>
            </w:pPr>
            <w:r w:rsidRPr="00150691">
              <w:rPr>
                <w:rFonts w:ascii="Arial Narrow" w:hAnsi="Arial Narrow" w:cs="Calibri"/>
                <w:color w:val="000000"/>
                <w:sz w:val="20"/>
                <w:szCs w:val="20"/>
              </w:rPr>
              <w:t>2021</w:t>
            </w:r>
          </w:p>
        </w:tc>
        <w:tc>
          <w:tcPr>
            <w:tcW w:w="1200" w:type="dxa"/>
            <w:tcBorders>
              <w:top w:val="single" w:sz="2" w:space="0" w:color="auto"/>
              <w:bottom w:val="single" w:sz="2" w:space="0" w:color="auto"/>
              <w:right w:val="single" w:sz="2" w:space="0" w:color="auto"/>
            </w:tcBorders>
            <w:shd w:val="clear" w:color="auto" w:fill="auto"/>
            <w:noWrap/>
            <w:vAlign w:val="center"/>
            <w:hideMark/>
          </w:tcPr>
          <w:p w14:paraId="4B584315" w14:textId="453F7CAE" w:rsidR="00FE1F21" w:rsidRPr="00150691" w:rsidRDefault="00297CB2" w:rsidP="00297CB2">
            <w:pPr>
              <w:jc w:val="right"/>
              <w:rPr>
                <w:rFonts w:ascii="Arial Narrow" w:hAnsi="Arial Narrow" w:cs="Calibri"/>
                <w:color w:val="000000"/>
                <w:sz w:val="20"/>
                <w:szCs w:val="20"/>
              </w:rPr>
            </w:pPr>
            <w:r>
              <w:rPr>
                <w:rFonts w:ascii="Arial Narrow" w:hAnsi="Arial Narrow" w:cs="Calibri"/>
                <w:color w:val="000000"/>
                <w:sz w:val="20"/>
                <w:szCs w:val="20"/>
              </w:rPr>
              <w:t>-</w:t>
            </w:r>
          </w:p>
        </w:tc>
        <w:tc>
          <w:tcPr>
            <w:tcW w:w="860" w:type="dxa"/>
            <w:tcBorders>
              <w:top w:val="single" w:sz="2" w:space="0" w:color="auto"/>
              <w:left w:val="single" w:sz="2" w:space="0" w:color="auto"/>
              <w:bottom w:val="single" w:sz="2" w:space="0" w:color="auto"/>
            </w:tcBorders>
            <w:shd w:val="clear" w:color="auto" w:fill="auto"/>
            <w:noWrap/>
            <w:vAlign w:val="center"/>
            <w:hideMark/>
          </w:tcPr>
          <w:p w14:paraId="14A52C6F"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637</w:t>
            </w:r>
          </w:p>
        </w:tc>
        <w:tc>
          <w:tcPr>
            <w:tcW w:w="860" w:type="dxa"/>
            <w:tcBorders>
              <w:top w:val="single" w:sz="2" w:space="0" w:color="auto"/>
              <w:bottom w:val="single" w:sz="2" w:space="0" w:color="auto"/>
            </w:tcBorders>
            <w:shd w:val="clear" w:color="auto" w:fill="auto"/>
            <w:noWrap/>
            <w:vAlign w:val="center"/>
            <w:hideMark/>
          </w:tcPr>
          <w:p w14:paraId="078DE9A3"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860</w:t>
            </w:r>
          </w:p>
        </w:tc>
        <w:tc>
          <w:tcPr>
            <w:tcW w:w="860" w:type="dxa"/>
            <w:tcBorders>
              <w:top w:val="single" w:sz="2" w:space="0" w:color="auto"/>
              <w:bottom w:val="single" w:sz="2" w:space="0" w:color="auto"/>
            </w:tcBorders>
            <w:shd w:val="clear" w:color="auto" w:fill="auto"/>
            <w:noWrap/>
            <w:vAlign w:val="center"/>
            <w:hideMark/>
          </w:tcPr>
          <w:p w14:paraId="4FF996EC"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1.019</w:t>
            </w:r>
          </w:p>
        </w:tc>
        <w:tc>
          <w:tcPr>
            <w:tcW w:w="860" w:type="dxa"/>
            <w:tcBorders>
              <w:top w:val="single" w:sz="2" w:space="0" w:color="auto"/>
              <w:bottom w:val="single" w:sz="2" w:space="0" w:color="auto"/>
            </w:tcBorders>
            <w:shd w:val="clear" w:color="auto" w:fill="auto"/>
            <w:noWrap/>
            <w:vAlign w:val="center"/>
            <w:hideMark/>
          </w:tcPr>
          <w:p w14:paraId="3994C155"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1.114</w:t>
            </w:r>
          </w:p>
        </w:tc>
        <w:tc>
          <w:tcPr>
            <w:tcW w:w="860" w:type="dxa"/>
            <w:tcBorders>
              <w:top w:val="single" w:sz="2" w:space="0" w:color="auto"/>
              <w:bottom w:val="single" w:sz="2" w:space="0" w:color="auto"/>
            </w:tcBorders>
            <w:shd w:val="clear" w:color="auto" w:fill="auto"/>
            <w:noWrap/>
            <w:vAlign w:val="center"/>
            <w:hideMark/>
          </w:tcPr>
          <w:p w14:paraId="1CA1EA9E"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1.210</w:t>
            </w:r>
          </w:p>
        </w:tc>
        <w:tc>
          <w:tcPr>
            <w:tcW w:w="1162" w:type="dxa"/>
            <w:tcBorders>
              <w:top w:val="single" w:sz="2" w:space="0" w:color="auto"/>
              <w:bottom w:val="single" w:sz="2" w:space="0" w:color="auto"/>
              <w:right w:val="single" w:sz="2" w:space="0" w:color="auto"/>
            </w:tcBorders>
            <w:shd w:val="clear" w:color="auto" w:fill="auto"/>
            <w:noWrap/>
            <w:vAlign w:val="center"/>
            <w:hideMark/>
          </w:tcPr>
          <w:p w14:paraId="344132AE"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1.273</w:t>
            </w:r>
          </w:p>
        </w:tc>
        <w:tc>
          <w:tcPr>
            <w:tcW w:w="1281" w:type="dxa"/>
            <w:tcBorders>
              <w:top w:val="single" w:sz="2" w:space="0" w:color="auto"/>
              <w:left w:val="single" w:sz="2" w:space="0" w:color="auto"/>
              <w:bottom w:val="single" w:sz="2" w:space="0" w:color="auto"/>
            </w:tcBorders>
            <w:shd w:val="clear" w:color="auto" w:fill="auto"/>
            <w:noWrap/>
            <w:vAlign w:val="center"/>
            <w:hideMark/>
          </w:tcPr>
          <w:p w14:paraId="52A2464A" w14:textId="3237E5E2" w:rsidR="00FE1F21" w:rsidRPr="00150691" w:rsidRDefault="00E558C5" w:rsidP="00FC6A03">
            <w:pPr>
              <w:jc w:val="right"/>
              <w:rPr>
                <w:rFonts w:ascii="Arial Narrow" w:hAnsi="Arial Narrow" w:cs="Calibri"/>
                <w:color w:val="000000"/>
                <w:sz w:val="20"/>
                <w:szCs w:val="20"/>
              </w:rPr>
            </w:pPr>
            <w:r>
              <w:rPr>
                <w:rFonts w:ascii="Arial Narrow" w:hAnsi="Arial Narrow" w:cs="Calibri"/>
                <w:color w:val="000000"/>
                <w:sz w:val="20"/>
                <w:szCs w:val="20"/>
              </w:rPr>
              <w:t>1.126</w:t>
            </w:r>
          </w:p>
        </w:tc>
      </w:tr>
      <w:tr w:rsidR="00FE1F21" w:rsidRPr="00150691" w14:paraId="1F8D3EB7" w14:textId="77777777" w:rsidTr="00297CB2">
        <w:trPr>
          <w:trHeight w:val="198"/>
        </w:trPr>
        <w:tc>
          <w:tcPr>
            <w:tcW w:w="846" w:type="dxa"/>
            <w:tcBorders>
              <w:top w:val="single" w:sz="2" w:space="0" w:color="auto"/>
              <w:bottom w:val="single" w:sz="2" w:space="0" w:color="auto"/>
            </w:tcBorders>
            <w:shd w:val="clear" w:color="auto" w:fill="auto"/>
            <w:noWrap/>
            <w:vAlign w:val="center"/>
            <w:hideMark/>
          </w:tcPr>
          <w:p w14:paraId="1FBE425F" w14:textId="77777777" w:rsidR="00FE1F21" w:rsidRPr="00150691" w:rsidRDefault="00FE1F21" w:rsidP="00FC6A03">
            <w:pPr>
              <w:jc w:val="center"/>
              <w:rPr>
                <w:rFonts w:ascii="Arial Narrow" w:hAnsi="Arial Narrow" w:cs="Calibri"/>
                <w:color w:val="000000"/>
                <w:sz w:val="20"/>
                <w:szCs w:val="20"/>
              </w:rPr>
            </w:pPr>
            <w:r w:rsidRPr="00150691">
              <w:rPr>
                <w:rFonts w:ascii="Arial Narrow" w:hAnsi="Arial Narrow" w:cs="Calibri"/>
                <w:color w:val="000000"/>
                <w:sz w:val="20"/>
                <w:szCs w:val="20"/>
              </w:rPr>
              <w:t>2022</w:t>
            </w:r>
          </w:p>
        </w:tc>
        <w:tc>
          <w:tcPr>
            <w:tcW w:w="1200" w:type="dxa"/>
            <w:tcBorders>
              <w:top w:val="single" w:sz="2" w:space="0" w:color="auto"/>
              <w:bottom w:val="single" w:sz="2" w:space="0" w:color="auto"/>
              <w:right w:val="single" w:sz="2" w:space="0" w:color="auto"/>
            </w:tcBorders>
            <w:shd w:val="clear" w:color="auto" w:fill="auto"/>
            <w:noWrap/>
            <w:vAlign w:val="center"/>
            <w:hideMark/>
          </w:tcPr>
          <w:p w14:paraId="5088E1E3"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3,40</w:t>
            </w:r>
          </w:p>
        </w:tc>
        <w:tc>
          <w:tcPr>
            <w:tcW w:w="860" w:type="dxa"/>
            <w:tcBorders>
              <w:top w:val="single" w:sz="2" w:space="0" w:color="auto"/>
              <w:left w:val="single" w:sz="2" w:space="0" w:color="auto"/>
              <w:bottom w:val="single" w:sz="2" w:space="0" w:color="auto"/>
            </w:tcBorders>
            <w:shd w:val="clear" w:color="auto" w:fill="auto"/>
            <w:noWrap/>
            <w:vAlign w:val="center"/>
            <w:hideMark/>
          </w:tcPr>
          <w:p w14:paraId="35168856"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658</w:t>
            </w:r>
          </w:p>
        </w:tc>
        <w:tc>
          <w:tcPr>
            <w:tcW w:w="860" w:type="dxa"/>
            <w:tcBorders>
              <w:top w:val="single" w:sz="2" w:space="0" w:color="auto"/>
              <w:bottom w:val="single" w:sz="2" w:space="0" w:color="auto"/>
            </w:tcBorders>
            <w:shd w:val="clear" w:color="auto" w:fill="auto"/>
            <w:noWrap/>
            <w:vAlign w:val="center"/>
            <w:hideMark/>
          </w:tcPr>
          <w:p w14:paraId="6B8DAF5F"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889</w:t>
            </w:r>
          </w:p>
        </w:tc>
        <w:tc>
          <w:tcPr>
            <w:tcW w:w="860" w:type="dxa"/>
            <w:tcBorders>
              <w:top w:val="single" w:sz="2" w:space="0" w:color="auto"/>
              <w:bottom w:val="single" w:sz="2" w:space="0" w:color="auto"/>
            </w:tcBorders>
            <w:shd w:val="clear" w:color="auto" w:fill="auto"/>
            <w:noWrap/>
            <w:vAlign w:val="center"/>
            <w:hideMark/>
          </w:tcPr>
          <w:p w14:paraId="31CAEF1D"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1.053</w:t>
            </w:r>
          </w:p>
        </w:tc>
        <w:tc>
          <w:tcPr>
            <w:tcW w:w="860" w:type="dxa"/>
            <w:tcBorders>
              <w:top w:val="single" w:sz="2" w:space="0" w:color="auto"/>
              <w:bottom w:val="single" w:sz="2" w:space="0" w:color="auto"/>
            </w:tcBorders>
            <w:shd w:val="clear" w:color="auto" w:fill="auto"/>
            <w:noWrap/>
            <w:vAlign w:val="center"/>
            <w:hideMark/>
          </w:tcPr>
          <w:p w14:paraId="3F25FC9E"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1.152</w:t>
            </w:r>
          </w:p>
        </w:tc>
        <w:tc>
          <w:tcPr>
            <w:tcW w:w="860" w:type="dxa"/>
            <w:tcBorders>
              <w:top w:val="single" w:sz="2" w:space="0" w:color="auto"/>
              <w:bottom w:val="single" w:sz="2" w:space="0" w:color="auto"/>
            </w:tcBorders>
            <w:shd w:val="clear" w:color="auto" w:fill="auto"/>
            <w:noWrap/>
            <w:vAlign w:val="center"/>
            <w:hideMark/>
          </w:tcPr>
          <w:p w14:paraId="537E7134"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1.251</w:t>
            </w:r>
          </w:p>
        </w:tc>
        <w:tc>
          <w:tcPr>
            <w:tcW w:w="1162" w:type="dxa"/>
            <w:tcBorders>
              <w:top w:val="single" w:sz="2" w:space="0" w:color="auto"/>
              <w:bottom w:val="single" w:sz="2" w:space="0" w:color="auto"/>
              <w:right w:val="single" w:sz="2" w:space="0" w:color="auto"/>
            </w:tcBorders>
            <w:shd w:val="clear" w:color="auto" w:fill="auto"/>
            <w:noWrap/>
            <w:vAlign w:val="center"/>
            <w:hideMark/>
          </w:tcPr>
          <w:p w14:paraId="544FB95B"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1.317</w:t>
            </w:r>
          </w:p>
        </w:tc>
        <w:tc>
          <w:tcPr>
            <w:tcW w:w="1281" w:type="dxa"/>
            <w:tcBorders>
              <w:top w:val="single" w:sz="2" w:space="0" w:color="auto"/>
              <w:left w:val="single" w:sz="2" w:space="0" w:color="auto"/>
              <w:bottom w:val="single" w:sz="2" w:space="0" w:color="auto"/>
            </w:tcBorders>
            <w:shd w:val="clear" w:color="auto" w:fill="auto"/>
            <w:noWrap/>
            <w:vAlign w:val="center"/>
            <w:hideMark/>
          </w:tcPr>
          <w:p w14:paraId="19BAECEC" w14:textId="6658C688" w:rsidR="00FE1F21" w:rsidRPr="00150691" w:rsidRDefault="00E558C5" w:rsidP="00FC6A03">
            <w:pPr>
              <w:jc w:val="right"/>
              <w:rPr>
                <w:rFonts w:ascii="Arial Narrow" w:hAnsi="Arial Narrow" w:cs="Calibri"/>
                <w:color w:val="000000"/>
                <w:sz w:val="20"/>
                <w:szCs w:val="20"/>
              </w:rPr>
            </w:pPr>
            <w:r>
              <w:rPr>
                <w:rFonts w:ascii="Arial Narrow" w:hAnsi="Arial Narrow" w:cs="Calibri"/>
                <w:color w:val="000000"/>
                <w:sz w:val="20"/>
                <w:szCs w:val="20"/>
              </w:rPr>
              <w:t>1.167</w:t>
            </w:r>
          </w:p>
        </w:tc>
      </w:tr>
      <w:tr w:rsidR="00FE1F21" w:rsidRPr="00150691" w14:paraId="17179025" w14:textId="77777777" w:rsidTr="00297CB2">
        <w:trPr>
          <w:trHeight w:val="198"/>
        </w:trPr>
        <w:tc>
          <w:tcPr>
            <w:tcW w:w="846" w:type="dxa"/>
            <w:tcBorders>
              <w:top w:val="single" w:sz="2" w:space="0" w:color="auto"/>
            </w:tcBorders>
            <w:shd w:val="clear" w:color="auto" w:fill="auto"/>
            <w:noWrap/>
            <w:vAlign w:val="center"/>
            <w:hideMark/>
          </w:tcPr>
          <w:p w14:paraId="1C623E38" w14:textId="77777777" w:rsidR="00FE1F21" w:rsidRPr="00150691" w:rsidRDefault="00FE1F21" w:rsidP="00FC6A03">
            <w:pPr>
              <w:jc w:val="center"/>
              <w:rPr>
                <w:rFonts w:ascii="Arial Narrow" w:hAnsi="Arial Narrow" w:cs="Calibri"/>
                <w:color w:val="000000"/>
                <w:sz w:val="20"/>
                <w:szCs w:val="20"/>
              </w:rPr>
            </w:pPr>
            <w:r w:rsidRPr="00150691">
              <w:rPr>
                <w:rFonts w:ascii="Arial Narrow" w:hAnsi="Arial Narrow" w:cs="Calibri"/>
                <w:color w:val="000000"/>
                <w:sz w:val="20"/>
                <w:szCs w:val="20"/>
              </w:rPr>
              <w:t>2023</w:t>
            </w:r>
          </w:p>
        </w:tc>
        <w:tc>
          <w:tcPr>
            <w:tcW w:w="1200" w:type="dxa"/>
            <w:tcBorders>
              <w:top w:val="single" w:sz="2" w:space="0" w:color="auto"/>
              <w:right w:val="single" w:sz="2" w:space="0" w:color="auto"/>
            </w:tcBorders>
            <w:shd w:val="clear" w:color="auto" w:fill="auto"/>
            <w:noWrap/>
            <w:vAlign w:val="center"/>
            <w:hideMark/>
          </w:tcPr>
          <w:p w14:paraId="45C0A2A2"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8,80</w:t>
            </w:r>
          </w:p>
        </w:tc>
        <w:tc>
          <w:tcPr>
            <w:tcW w:w="860" w:type="dxa"/>
            <w:tcBorders>
              <w:top w:val="single" w:sz="2" w:space="0" w:color="auto"/>
              <w:left w:val="single" w:sz="2" w:space="0" w:color="auto"/>
            </w:tcBorders>
            <w:shd w:val="clear" w:color="auto" w:fill="auto"/>
            <w:noWrap/>
            <w:vAlign w:val="center"/>
            <w:hideMark/>
          </w:tcPr>
          <w:p w14:paraId="77D30F11"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716</w:t>
            </w:r>
          </w:p>
        </w:tc>
        <w:tc>
          <w:tcPr>
            <w:tcW w:w="860" w:type="dxa"/>
            <w:tcBorders>
              <w:top w:val="single" w:sz="2" w:space="0" w:color="auto"/>
            </w:tcBorders>
            <w:shd w:val="clear" w:color="auto" w:fill="auto"/>
            <w:noWrap/>
            <w:vAlign w:val="center"/>
            <w:hideMark/>
          </w:tcPr>
          <w:p w14:paraId="6ED7B1AE"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967</w:t>
            </w:r>
          </w:p>
        </w:tc>
        <w:tc>
          <w:tcPr>
            <w:tcW w:w="860" w:type="dxa"/>
            <w:tcBorders>
              <w:top w:val="single" w:sz="2" w:space="0" w:color="auto"/>
            </w:tcBorders>
            <w:shd w:val="clear" w:color="auto" w:fill="auto"/>
            <w:noWrap/>
            <w:vAlign w:val="center"/>
            <w:hideMark/>
          </w:tcPr>
          <w:p w14:paraId="1104DC94"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1.146</w:t>
            </w:r>
          </w:p>
        </w:tc>
        <w:tc>
          <w:tcPr>
            <w:tcW w:w="860" w:type="dxa"/>
            <w:tcBorders>
              <w:top w:val="single" w:sz="2" w:space="0" w:color="auto"/>
            </w:tcBorders>
            <w:shd w:val="clear" w:color="auto" w:fill="auto"/>
            <w:noWrap/>
            <w:vAlign w:val="center"/>
            <w:hideMark/>
          </w:tcPr>
          <w:p w14:paraId="1A23550B"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1.254</w:t>
            </w:r>
          </w:p>
        </w:tc>
        <w:tc>
          <w:tcPr>
            <w:tcW w:w="860" w:type="dxa"/>
            <w:tcBorders>
              <w:top w:val="single" w:sz="2" w:space="0" w:color="auto"/>
            </w:tcBorders>
            <w:shd w:val="clear" w:color="auto" w:fill="auto"/>
            <w:noWrap/>
            <w:vAlign w:val="center"/>
            <w:hideMark/>
          </w:tcPr>
          <w:p w14:paraId="17500E22"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1.361</w:t>
            </w:r>
          </w:p>
        </w:tc>
        <w:tc>
          <w:tcPr>
            <w:tcW w:w="1162" w:type="dxa"/>
            <w:tcBorders>
              <w:top w:val="single" w:sz="2" w:space="0" w:color="auto"/>
              <w:right w:val="single" w:sz="2" w:space="0" w:color="auto"/>
            </w:tcBorders>
            <w:shd w:val="clear" w:color="auto" w:fill="auto"/>
            <w:noWrap/>
            <w:vAlign w:val="center"/>
            <w:hideMark/>
          </w:tcPr>
          <w:p w14:paraId="7D0F59B1" w14:textId="77777777" w:rsidR="00FE1F21" w:rsidRPr="00150691" w:rsidRDefault="00FE1F21" w:rsidP="00FC6A03">
            <w:pPr>
              <w:jc w:val="right"/>
              <w:rPr>
                <w:rFonts w:ascii="Arial Narrow" w:hAnsi="Arial Narrow" w:cs="Calibri"/>
                <w:color w:val="000000"/>
                <w:sz w:val="20"/>
                <w:szCs w:val="20"/>
              </w:rPr>
            </w:pPr>
            <w:r w:rsidRPr="00150691">
              <w:rPr>
                <w:rFonts w:ascii="Arial Narrow" w:hAnsi="Arial Narrow" w:cs="Calibri"/>
                <w:color w:val="000000"/>
                <w:sz w:val="20"/>
                <w:szCs w:val="20"/>
              </w:rPr>
              <w:t>1.433</w:t>
            </w:r>
          </w:p>
        </w:tc>
        <w:tc>
          <w:tcPr>
            <w:tcW w:w="1281" w:type="dxa"/>
            <w:tcBorders>
              <w:top w:val="single" w:sz="2" w:space="0" w:color="auto"/>
              <w:left w:val="single" w:sz="2" w:space="0" w:color="auto"/>
            </w:tcBorders>
            <w:shd w:val="clear" w:color="auto" w:fill="auto"/>
            <w:noWrap/>
            <w:vAlign w:val="center"/>
            <w:hideMark/>
          </w:tcPr>
          <w:p w14:paraId="211EA19C" w14:textId="6FF92363" w:rsidR="00FE1F21" w:rsidRPr="00150691" w:rsidRDefault="00E558C5" w:rsidP="00FC6A03">
            <w:pPr>
              <w:jc w:val="right"/>
              <w:rPr>
                <w:rFonts w:ascii="Arial Narrow" w:hAnsi="Arial Narrow" w:cs="Calibri"/>
                <w:color w:val="000000"/>
                <w:sz w:val="20"/>
                <w:szCs w:val="20"/>
              </w:rPr>
            </w:pPr>
            <w:r>
              <w:rPr>
                <w:rFonts w:ascii="Arial Narrow" w:hAnsi="Arial Narrow" w:cs="Calibri"/>
                <w:color w:val="000000"/>
                <w:sz w:val="20"/>
                <w:szCs w:val="20"/>
              </w:rPr>
              <w:t>1.260</w:t>
            </w:r>
          </w:p>
        </w:tc>
      </w:tr>
    </w:tbl>
    <w:p w14:paraId="72A02FD0" w14:textId="4B102832" w:rsidR="00FE1F21" w:rsidRDefault="00FE1F21" w:rsidP="00461770">
      <w:pPr>
        <w:pStyle w:val="texto"/>
        <w:spacing w:before="140" w:after="140"/>
        <w:jc w:val="both"/>
      </w:pPr>
      <w:r>
        <w:t xml:space="preserve">En el periodo analizado las cuantías máximas han aumentado un 15 por ciento. </w:t>
      </w:r>
      <w:r w:rsidR="148A2A2E">
        <w:t xml:space="preserve">Se observa que, </w:t>
      </w:r>
      <w:r w:rsidR="00CC5754">
        <w:t>con cuatro</w:t>
      </w:r>
      <w:r>
        <w:t xml:space="preserve"> miembros</w:t>
      </w:r>
      <w:r w:rsidR="3BF2EC4D">
        <w:t>,</w:t>
      </w:r>
      <w:r>
        <w:t xml:space="preserve"> el importe máximo que puede percibir una unidad </w:t>
      </w:r>
      <w:r w:rsidRPr="3896A6D9">
        <w:t>familiar</w:t>
      </w:r>
      <w:r>
        <w:t xml:space="preserve"> supera </w:t>
      </w:r>
      <w:r w:rsidR="00E558C5">
        <w:t>ligeramente o es prácticamente similar al</w:t>
      </w:r>
      <w:r>
        <w:t xml:space="preserve"> SMI</w:t>
      </w:r>
      <w:r w:rsidR="008A235C">
        <w:t xml:space="preserve"> de una persona</w:t>
      </w:r>
      <w:r>
        <w:t>.</w:t>
      </w:r>
    </w:p>
    <w:p w14:paraId="650D142F" w14:textId="539A871A" w:rsidR="004B5DA4" w:rsidRDefault="004B5DA4" w:rsidP="3896A6D9">
      <w:pPr>
        <w:pStyle w:val="texto"/>
        <w:spacing w:after="140"/>
        <w:jc w:val="both"/>
        <w:rPr>
          <w:rFonts w:eastAsia="Calibri"/>
          <w:lang w:eastAsia="en-US"/>
        </w:rPr>
      </w:pPr>
      <w:r w:rsidRPr="3896A6D9">
        <w:rPr>
          <w:rFonts w:eastAsia="Calibri"/>
        </w:rPr>
        <w:t xml:space="preserve">Con el fin de incentivar la incorporación socio-laboral, a efectos de determinar el derecho y la cuantía de la RG, una vez determinada la capacidad económica, </w:t>
      </w:r>
      <w:r w:rsidRPr="3896A6D9">
        <w:rPr>
          <w:rFonts w:eastAsia="Calibri"/>
        </w:rPr>
        <w:lastRenderedPageBreak/>
        <w:t>se aplicará</w:t>
      </w:r>
      <w:r w:rsidR="191FD059" w:rsidRPr="3896A6D9">
        <w:rPr>
          <w:rFonts w:eastAsia="Calibri"/>
        </w:rPr>
        <w:t>,</w:t>
      </w:r>
      <w:r w:rsidRPr="3896A6D9">
        <w:rPr>
          <w:rFonts w:eastAsia="Calibri"/>
        </w:rPr>
        <w:t xml:space="preserve"> en su caso</w:t>
      </w:r>
      <w:r w:rsidR="7829E979" w:rsidRPr="3896A6D9">
        <w:rPr>
          <w:rFonts w:eastAsia="Calibri"/>
        </w:rPr>
        <w:t>,</w:t>
      </w:r>
      <w:r w:rsidRPr="3896A6D9">
        <w:rPr>
          <w:rFonts w:eastAsia="Calibri"/>
        </w:rPr>
        <w:t xml:space="preserve"> una fórmula de estímulo al empleo a todos los ingresos por actividades laborales de los miembros de la unidad perceptora</w:t>
      </w:r>
      <w:r w:rsidR="002377DF" w:rsidRPr="3896A6D9">
        <w:rPr>
          <w:rFonts w:eastAsia="Calibri"/>
        </w:rPr>
        <w:t>.</w:t>
      </w:r>
      <w:r w:rsidRPr="3896A6D9">
        <w:rPr>
          <w:rFonts w:eastAsia="Calibri"/>
        </w:rPr>
        <w:t xml:space="preserve"> </w:t>
      </w:r>
    </w:p>
    <w:p w14:paraId="41CC44B6" w14:textId="206E246B" w:rsidR="004B5DA4" w:rsidRDefault="004B5DA4" w:rsidP="00A215EC">
      <w:pPr>
        <w:pStyle w:val="texto"/>
        <w:spacing w:after="140"/>
        <w:jc w:val="both"/>
        <w:rPr>
          <w:rFonts w:eastAsia="Calibri"/>
          <w:szCs w:val="26"/>
          <w:lang w:eastAsia="en-US"/>
        </w:rPr>
      </w:pPr>
      <w:r w:rsidRPr="75F46F8A">
        <w:rPr>
          <w:rFonts w:eastAsia="Calibri"/>
          <w:szCs w:val="26"/>
          <w:lang w:eastAsia="en-US"/>
        </w:rPr>
        <w:t>Asimismo, existen otros mecanismos para fomentar el empleo que pueden afectar a la cuantía de la RG como son los incentivos en contratos laborales subvencionados (que excluyan del cómputo de los ingresos una sexta parte de la RG) y la suspensión temporal de la prestación por incorporación laboral en determinadas circunstancias previstas en el Decreto Foral 26/2018, de 25 de abril, de desarrollo de los derechos a la Inclusión Social y a la Renta Garantizada.</w:t>
      </w:r>
    </w:p>
    <w:p w14:paraId="395F960B" w14:textId="4056B55D" w:rsidR="00131696" w:rsidRPr="00131696" w:rsidRDefault="00131696" w:rsidP="00461770">
      <w:pPr>
        <w:pStyle w:val="atitulo3"/>
        <w:spacing w:before="240"/>
      </w:pPr>
      <w:r>
        <w:t>Procedimiento de gestión</w:t>
      </w:r>
    </w:p>
    <w:p w14:paraId="1E063E33" w14:textId="3DE6E763" w:rsidR="00611E49" w:rsidRDefault="00611E49" w:rsidP="00A215EC">
      <w:pPr>
        <w:pStyle w:val="texto"/>
        <w:spacing w:after="140"/>
        <w:jc w:val="both"/>
        <w:rPr>
          <w:szCs w:val="26"/>
        </w:rPr>
      </w:pPr>
      <w:r>
        <w:rPr>
          <w:szCs w:val="26"/>
        </w:rPr>
        <w:t>Para gestionar esta prestación, e</w:t>
      </w:r>
      <w:r w:rsidRPr="5D8B6717">
        <w:rPr>
          <w:szCs w:val="26"/>
        </w:rPr>
        <w:t>l departamento se estructura en varias secciones, siendo una de ellas la Sección de Renta Garantizada y Prestaciones Económicas (sección en adelante)</w:t>
      </w:r>
      <w:r w:rsidR="005F087F">
        <w:rPr>
          <w:szCs w:val="26"/>
        </w:rPr>
        <w:t>,</w:t>
      </w:r>
      <w:r>
        <w:rPr>
          <w:szCs w:val="26"/>
        </w:rPr>
        <w:t xml:space="preserve"> que cuenta con 30</w:t>
      </w:r>
      <w:r w:rsidRPr="5D8B6717">
        <w:rPr>
          <w:szCs w:val="26"/>
        </w:rPr>
        <w:t xml:space="preserve"> personas de perfil técnico y </w:t>
      </w:r>
      <w:r w:rsidR="00CC5754">
        <w:rPr>
          <w:szCs w:val="26"/>
        </w:rPr>
        <w:t>sei</w:t>
      </w:r>
      <w:r w:rsidRPr="5D8B6717">
        <w:rPr>
          <w:szCs w:val="26"/>
        </w:rPr>
        <w:t xml:space="preserve">s personas de perfil administrativo. </w:t>
      </w:r>
    </w:p>
    <w:p w14:paraId="708CFAC6" w14:textId="70E71899" w:rsidR="00611E49" w:rsidRDefault="00611E49" w:rsidP="00611E49">
      <w:pPr>
        <w:pStyle w:val="Textonotapie"/>
        <w:ind w:firstLine="284"/>
        <w:rPr>
          <w:sz w:val="26"/>
          <w:szCs w:val="26"/>
          <w:lang w:val="es-ES"/>
        </w:rPr>
      </w:pPr>
      <w:r w:rsidRPr="33F9D20B">
        <w:rPr>
          <w:sz w:val="26"/>
          <w:szCs w:val="26"/>
          <w:lang w:val="es-ES"/>
        </w:rPr>
        <w:t>En la gestión también participan los SSB cuya titularidad pertenece a las entidades locales</w:t>
      </w:r>
      <w:r>
        <w:rPr>
          <w:sz w:val="26"/>
          <w:szCs w:val="26"/>
          <w:lang w:val="es-ES"/>
        </w:rPr>
        <w:t xml:space="preserve"> y </w:t>
      </w:r>
      <w:r w:rsidRPr="00A215EC">
        <w:rPr>
          <w:rFonts w:eastAsia="Times New Roman"/>
          <w:spacing w:val="6"/>
          <w:sz w:val="26"/>
          <w:szCs w:val="26"/>
          <w:lang w:eastAsia="es-ES"/>
        </w:rPr>
        <w:t>las Unidades Administrativas de Tramitación (UAT en adelante) en los término</w:t>
      </w:r>
      <w:r w:rsidRPr="33F9D20B">
        <w:rPr>
          <w:sz w:val="26"/>
          <w:szCs w:val="26"/>
          <w:lang w:val="es-ES"/>
        </w:rPr>
        <w:t>s expuestos a continuación.</w:t>
      </w:r>
    </w:p>
    <w:p w14:paraId="6B7D6C5F" w14:textId="77777777" w:rsidR="00611E49" w:rsidRDefault="00611E49" w:rsidP="00A215EC">
      <w:pPr>
        <w:pStyle w:val="texto"/>
        <w:spacing w:after="140"/>
        <w:jc w:val="both"/>
        <w:rPr>
          <w:szCs w:val="26"/>
        </w:rPr>
      </w:pPr>
      <w:r>
        <w:rPr>
          <w:szCs w:val="26"/>
        </w:rPr>
        <w:t>Esta Cámara</w:t>
      </w:r>
      <w:r w:rsidRPr="33F9D20B">
        <w:rPr>
          <w:szCs w:val="26"/>
        </w:rPr>
        <w:t xml:space="preserve"> revisó el procedimiento de gestión de la RG en su informe de abri</w:t>
      </w:r>
      <w:r>
        <w:rPr>
          <w:szCs w:val="26"/>
        </w:rPr>
        <w:t xml:space="preserve">l de 2019. Dicho </w:t>
      </w:r>
      <w:r w:rsidRPr="00A215EC">
        <w:rPr>
          <w:lang w:val="es-ES_tradnl"/>
        </w:rPr>
        <w:t>procedimiento</w:t>
      </w:r>
      <w:r>
        <w:rPr>
          <w:szCs w:val="26"/>
        </w:rPr>
        <w:t xml:space="preserve"> </w:t>
      </w:r>
      <w:r w:rsidRPr="33F9D20B">
        <w:rPr>
          <w:szCs w:val="26"/>
        </w:rPr>
        <w:t xml:space="preserve">puede consultarse en el </w:t>
      </w:r>
      <w:r>
        <w:rPr>
          <w:szCs w:val="26"/>
        </w:rPr>
        <w:t>a</w:t>
      </w:r>
      <w:r w:rsidRPr="33F9D20B">
        <w:rPr>
          <w:szCs w:val="26"/>
        </w:rPr>
        <w:t xml:space="preserve">nexo </w:t>
      </w:r>
      <w:r>
        <w:rPr>
          <w:szCs w:val="26"/>
        </w:rPr>
        <w:t>que acompaña a este informe y se divide en varias fases que describimos brevemente a continuación:</w:t>
      </w:r>
    </w:p>
    <w:p w14:paraId="45B36ED3"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lang w:val="es-ES_tradnl"/>
        </w:rPr>
      </w:pPr>
      <w:r>
        <w:rPr>
          <w:rFonts w:eastAsia="Calibri"/>
          <w:szCs w:val="26"/>
          <w:lang w:val="es-ES_tradnl"/>
        </w:rPr>
        <w:t xml:space="preserve">El </w:t>
      </w:r>
      <w:r w:rsidRPr="00461770">
        <w:rPr>
          <w:rFonts w:eastAsia="Calibri"/>
          <w:szCs w:val="26"/>
        </w:rPr>
        <w:t>procedimiento</w:t>
      </w:r>
      <w:r>
        <w:rPr>
          <w:rFonts w:eastAsia="Calibri"/>
          <w:szCs w:val="26"/>
          <w:lang w:val="es-ES_tradnl"/>
        </w:rPr>
        <w:t xml:space="preserve"> se inicia a solicitud de la persona interesada mediante la presentación de un formulario en los SSB, unidades de barrio o en las UAT</w:t>
      </w:r>
      <w:r w:rsidRPr="00C342B0">
        <w:rPr>
          <w:rFonts w:eastAsia="Calibri"/>
          <w:szCs w:val="26"/>
          <w:lang w:val="es-ES_tradnl"/>
        </w:rPr>
        <w:t xml:space="preserve">. </w:t>
      </w:r>
    </w:p>
    <w:p w14:paraId="0FAF674D" w14:textId="26554273" w:rsidR="00611E49" w:rsidRDefault="00611E49" w:rsidP="00461770">
      <w:pPr>
        <w:pStyle w:val="texto"/>
        <w:spacing w:after="140"/>
        <w:jc w:val="both"/>
        <w:rPr>
          <w:rFonts w:eastAsia="Calibri"/>
        </w:rPr>
      </w:pPr>
      <w:r w:rsidRPr="5D8B6717">
        <w:rPr>
          <w:rFonts w:eastAsia="Calibri"/>
        </w:rPr>
        <w:t>Señalamos como novedad respecto al anterior informe de esta Cámara sobre la gestión de la RG, que Navarra y el Estado</w:t>
      </w:r>
      <w:r w:rsidR="00715E6A">
        <w:rPr>
          <w:rFonts w:eastAsia="Calibri"/>
        </w:rPr>
        <w:t xml:space="preserve"> formalizaron un convenio</w:t>
      </w:r>
      <w:r w:rsidRPr="5D8B6717">
        <w:rPr>
          <w:rFonts w:eastAsia="Calibri"/>
        </w:rPr>
        <w:t xml:space="preserve"> para realizar un proyecto para la inclusión social en el marco del Plan de Recuperación, Transformación y Resiliencia</w:t>
      </w:r>
      <w:r w:rsidR="00715E6A">
        <w:rPr>
          <w:rFonts w:eastAsia="Calibri"/>
        </w:rPr>
        <w:t xml:space="preserve"> que</w:t>
      </w:r>
      <w:r w:rsidRPr="5D8B6717">
        <w:rPr>
          <w:rFonts w:eastAsia="Calibri"/>
        </w:rPr>
        <w:t xml:space="preserve"> se viene desarrollando</w:t>
      </w:r>
      <w:r w:rsidR="00715E6A">
        <w:rPr>
          <w:rFonts w:eastAsia="Calibri"/>
        </w:rPr>
        <w:t xml:space="preserve"> en</w:t>
      </w:r>
      <w:r w:rsidRPr="5D8B6717">
        <w:rPr>
          <w:rFonts w:eastAsia="Calibri"/>
        </w:rPr>
        <w:t xml:space="preserve"> el proyecto AUNA. A través de este proyecto se han implantado cuatro UAT en las áreas de servicios sociales de Tudela, Tafalla, Estella y </w:t>
      </w:r>
      <w:r>
        <w:rPr>
          <w:rFonts w:eastAsia="Calibri"/>
        </w:rPr>
        <w:t>Comarca de Pamplona (situada físicamente en Burlada).</w:t>
      </w:r>
      <w:r w:rsidRPr="5D8B6717">
        <w:rPr>
          <w:rFonts w:eastAsia="Calibri"/>
        </w:rPr>
        <w:t xml:space="preserve"> </w:t>
      </w:r>
    </w:p>
    <w:p w14:paraId="571AB5DC" w14:textId="3CEEF78E" w:rsidR="00611E49" w:rsidRDefault="6C99732C" w:rsidP="3896A6D9">
      <w:pPr>
        <w:pStyle w:val="texto"/>
        <w:spacing w:after="140"/>
        <w:jc w:val="both"/>
        <w:rPr>
          <w:rFonts w:eastAsia="Calibri"/>
        </w:rPr>
      </w:pPr>
      <w:r w:rsidRPr="3896A6D9">
        <w:rPr>
          <w:rFonts w:eastAsia="Calibri"/>
        </w:rPr>
        <w:t>Desde octubre de 2022 hasta octubre de 2023, estas UAT gestionaron también la tramitación de las solicitudes de RG. Asimismo, tras la finalización del proyecto AUNA, e</w:t>
      </w:r>
      <w:r w:rsidR="59B26FDE" w:rsidRPr="3896A6D9">
        <w:rPr>
          <w:rFonts w:eastAsia="Calibri"/>
        </w:rPr>
        <w:t>n</w:t>
      </w:r>
      <w:r w:rsidR="7BA32CC0" w:rsidRPr="3896A6D9">
        <w:rPr>
          <w:rFonts w:eastAsia="Calibri"/>
        </w:rPr>
        <w:t xml:space="preserve"> </w:t>
      </w:r>
      <w:r w:rsidR="00611E49" w:rsidRPr="3896A6D9">
        <w:rPr>
          <w:rFonts w:eastAsia="Calibri"/>
        </w:rPr>
        <w:t xml:space="preserve">octubre de 2023 se formalizó un encargo del departamento a la Fundación Navarra para la Gestión de Servicios Sociales-Gizain para gestionar </w:t>
      </w:r>
      <w:r w:rsidR="00715E6A" w:rsidRPr="3896A6D9">
        <w:rPr>
          <w:rFonts w:eastAsia="Calibri"/>
        </w:rPr>
        <w:t xml:space="preserve">estas </w:t>
      </w:r>
      <w:r w:rsidR="08AA7F0E" w:rsidRPr="3896A6D9">
        <w:rPr>
          <w:rFonts w:eastAsia="Calibri"/>
        </w:rPr>
        <w:t>unidades</w:t>
      </w:r>
      <w:r w:rsidR="00611E49" w:rsidRPr="3896A6D9">
        <w:rPr>
          <w:rFonts w:eastAsia="Calibri"/>
        </w:rPr>
        <w:t xml:space="preserve"> para el resto del año 2023 con un gasto de 134.367 euros. En 2024</w:t>
      </w:r>
      <w:r w:rsidR="00715E6A" w:rsidRPr="3896A6D9">
        <w:rPr>
          <w:rFonts w:eastAsia="Calibri"/>
        </w:rPr>
        <w:t>,</w:t>
      </w:r>
      <w:r w:rsidR="00611E49" w:rsidRPr="3896A6D9">
        <w:rPr>
          <w:rFonts w:eastAsia="Calibri"/>
        </w:rPr>
        <w:t xml:space="preserve"> se volvió a formalizar dicho encargo en dos ocasiones</w:t>
      </w:r>
      <w:r w:rsidR="2A122A9D" w:rsidRPr="3896A6D9">
        <w:rPr>
          <w:rFonts w:eastAsia="Calibri"/>
        </w:rPr>
        <w:t xml:space="preserve">, una </w:t>
      </w:r>
      <w:r w:rsidR="00611E49" w:rsidRPr="3896A6D9">
        <w:rPr>
          <w:rFonts w:eastAsia="Calibri"/>
        </w:rPr>
        <w:t>para el periodo enero-abril por un total de 499.255 euros y otr</w:t>
      </w:r>
      <w:r w:rsidR="48AF29C1" w:rsidRPr="3896A6D9">
        <w:rPr>
          <w:rFonts w:eastAsia="Calibri"/>
        </w:rPr>
        <w:t>a</w:t>
      </w:r>
      <w:r w:rsidR="00611E49" w:rsidRPr="3896A6D9">
        <w:rPr>
          <w:rFonts w:eastAsia="Calibri"/>
        </w:rPr>
        <w:t xml:space="preserve"> para el correspondiente a mayo-noviembre por un total de 872.972 euros.</w:t>
      </w:r>
    </w:p>
    <w:p w14:paraId="36BF9E4D" w14:textId="77777777" w:rsidR="00611E49" w:rsidRDefault="00611E49" w:rsidP="3896A6D9">
      <w:pPr>
        <w:pStyle w:val="texto"/>
        <w:spacing w:after="140"/>
        <w:jc w:val="both"/>
        <w:rPr>
          <w:rFonts w:eastAsia="Calibri"/>
        </w:rPr>
      </w:pPr>
      <w:r w:rsidRPr="3896A6D9">
        <w:rPr>
          <w:rFonts w:eastAsia="Calibri"/>
        </w:rPr>
        <w:t xml:space="preserve">Esto ha supuesto que las </w:t>
      </w:r>
      <w:r w:rsidRPr="3896A6D9">
        <w:t>solicitudes</w:t>
      </w:r>
      <w:r w:rsidRPr="3896A6D9">
        <w:rPr>
          <w:rFonts w:eastAsia="Calibri"/>
        </w:rPr>
        <w:t xml:space="preserve">, además de gestionarse a través de los SSB o unidades de barrio, se puedan </w:t>
      </w:r>
      <w:r w:rsidRPr="3896A6D9">
        <w:t>tramitar</w:t>
      </w:r>
      <w:r w:rsidRPr="3896A6D9">
        <w:rPr>
          <w:rFonts w:eastAsia="Calibri"/>
        </w:rPr>
        <w:t xml:space="preserve"> también a través de estas unidades.</w:t>
      </w:r>
    </w:p>
    <w:p w14:paraId="7028C098" w14:textId="77777777" w:rsidR="00611E49" w:rsidRDefault="00611E49" w:rsidP="00A215EC">
      <w:pPr>
        <w:pStyle w:val="texto"/>
        <w:spacing w:after="140"/>
        <w:jc w:val="both"/>
        <w:rPr>
          <w:rFonts w:eastAsia="Calibri"/>
          <w:szCs w:val="26"/>
        </w:rPr>
      </w:pPr>
      <w:r w:rsidRPr="5D8B6717">
        <w:rPr>
          <w:rFonts w:eastAsia="Calibri"/>
          <w:szCs w:val="26"/>
        </w:rPr>
        <w:lastRenderedPageBreak/>
        <w:t xml:space="preserve">En general, los SSB, unidades de barrio o UAT introducen los datos del formulario en la aplicación </w:t>
      </w:r>
      <w:r w:rsidRPr="00A215EC">
        <w:rPr>
          <w:lang w:val="es-ES_tradnl"/>
        </w:rPr>
        <w:t>informática</w:t>
      </w:r>
      <w:r w:rsidRPr="5D8B6717">
        <w:rPr>
          <w:rFonts w:eastAsia="Calibri"/>
          <w:szCs w:val="26"/>
        </w:rPr>
        <w:t xml:space="preserve"> TRAMITA y se vuelcan al SIPSS. </w:t>
      </w:r>
    </w:p>
    <w:p w14:paraId="66717224" w14:textId="2E6EEE23" w:rsidR="00611E49" w:rsidRPr="00516F88" w:rsidRDefault="00611E49"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rsidRPr="3896A6D9">
        <w:rPr>
          <w:rFonts w:eastAsia="Calibri"/>
        </w:rPr>
        <w:t>Estas solicitudes se remiten a la sección para su valoración. Si se detecta algún tipo de incidencia</w:t>
      </w:r>
      <w:r w:rsidR="005F087F">
        <w:rPr>
          <w:rFonts w:eastAsia="Calibri"/>
        </w:rPr>
        <w:t>,</w:t>
      </w:r>
      <w:r w:rsidRPr="3896A6D9">
        <w:rPr>
          <w:rFonts w:eastAsia="Calibri"/>
        </w:rPr>
        <w:t xml:space="preserve"> se concede a la persona solicitante plazo para subsanarla. En caso de que no se subsanen las deficiencias, las solicitudes se archivan.</w:t>
      </w:r>
    </w:p>
    <w:p w14:paraId="2934B0B6" w14:textId="7842AADA" w:rsidR="00611E49" w:rsidRDefault="00611E49" w:rsidP="3896A6D9">
      <w:pPr>
        <w:pStyle w:val="texto"/>
        <w:spacing w:after="140"/>
        <w:jc w:val="both"/>
        <w:rPr>
          <w:rFonts w:eastAsia="Calibri"/>
        </w:rPr>
      </w:pPr>
      <w:r w:rsidRPr="3896A6D9">
        <w:rPr>
          <w:rFonts w:eastAsia="Calibri"/>
        </w:rPr>
        <w:t xml:space="preserve">Una vez valorada la </w:t>
      </w:r>
      <w:r w:rsidRPr="3896A6D9">
        <w:t>solicitud</w:t>
      </w:r>
      <w:r w:rsidRPr="3896A6D9">
        <w:rPr>
          <w:rFonts w:eastAsia="Calibri"/>
        </w:rPr>
        <w:t>, y subsanada en su caso, se elabora la resolución de concesión o denegación en un plazo máximo de tres meses desde la solicitud</w:t>
      </w:r>
      <w:r w:rsidR="220390BC" w:rsidRPr="3896A6D9">
        <w:rPr>
          <w:rFonts w:eastAsia="Calibri"/>
        </w:rPr>
        <w:t>, o en su caso desde la subsanación</w:t>
      </w:r>
      <w:r w:rsidRPr="3896A6D9">
        <w:rPr>
          <w:rFonts w:eastAsia="Calibri"/>
        </w:rPr>
        <w:t>.</w:t>
      </w:r>
    </w:p>
    <w:p w14:paraId="656C0397" w14:textId="69F48F46" w:rsidR="00611E49" w:rsidRDefault="00611E49" w:rsidP="3896A6D9">
      <w:pPr>
        <w:pStyle w:val="texto"/>
        <w:spacing w:after="140"/>
        <w:jc w:val="both"/>
        <w:rPr>
          <w:rFonts w:eastAsia="Calibri"/>
        </w:rPr>
      </w:pPr>
      <w:r w:rsidRPr="3896A6D9">
        <w:rPr>
          <w:rFonts w:eastAsia="Calibri"/>
        </w:rPr>
        <w:t xml:space="preserve">La concesión </w:t>
      </w:r>
      <w:r w:rsidR="62DA79F9" w:rsidRPr="3896A6D9">
        <w:rPr>
          <w:rFonts w:eastAsia="Calibri"/>
        </w:rPr>
        <w:t>tiene</w:t>
      </w:r>
      <w:r w:rsidRPr="3896A6D9">
        <w:rPr>
          <w:rFonts w:eastAsia="Calibri"/>
        </w:rPr>
        <w:t xml:space="preserve"> una duración de un año, renovable por períodos de igual duración mientras continúe la situación de necesidad.</w:t>
      </w:r>
    </w:p>
    <w:p w14:paraId="7BD2B103" w14:textId="77777777" w:rsidR="00611E49" w:rsidRDefault="00611E49" w:rsidP="0027110E">
      <w:pPr>
        <w:pStyle w:val="texto"/>
        <w:spacing w:after="240"/>
        <w:jc w:val="both"/>
        <w:rPr>
          <w:rFonts w:eastAsia="Calibri"/>
          <w:szCs w:val="26"/>
        </w:rPr>
      </w:pPr>
      <w:r w:rsidRPr="5D8B6717">
        <w:rPr>
          <w:rFonts w:eastAsia="Calibri"/>
          <w:szCs w:val="26"/>
        </w:rPr>
        <w:t>El cuadro siguiente muestra la evolución de las solicitudes y su valoración en el periodo 2019-2023:</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26"/>
        <w:gridCol w:w="1132"/>
        <w:gridCol w:w="1133"/>
        <w:gridCol w:w="1132"/>
        <w:gridCol w:w="1133"/>
        <w:gridCol w:w="1133"/>
      </w:tblGrid>
      <w:tr w:rsidR="00611E49" w:rsidRPr="00A966A5" w14:paraId="67C47FDE" w14:textId="77777777" w:rsidTr="00335637">
        <w:trPr>
          <w:trHeight w:val="300"/>
        </w:trPr>
        <w:tc>
          <w:tcPr>
            <w:tcW w:w="3126" w:type="dxa"/>
            <w:shd w:val="clear" w:color="auto" w:fill="9CC2E5" w:themeFill="accent1" w:themeFillTint="99"/>
            <w:noWrap/>
            <w:vAlign w:val="bottom"/>
            <w:hideMark/>
          </w:tcPr>
          <w:p w14:paraId="5CDDB547" w14:textId="77777777" w:rsidR="00611E49" w:rsidRPr="00A966A5" w:rsidRDefault="00611E49" w:rsidP="00155BBC"/>
        </w:tc>
        <w:tc>
          <w:tcPr>
            <w:tcW w:w="1132" w:type="dxa"/>
            <w:shd w:val="clear" w:color="auto" w:fill="9CC2E5" w:themeFill="accent1" w:themeFillTint="99"/>
            <w:noWrap/>
            <w:vAlign w:val="center"/>
            <w:hideMark/>
          </w:tcPr>
          <w:p w14:paraId="408041EE" w14:textId="77777777" w:rsidR="00611E49" w:rsidRPr="00A966A5" w:rsidRDefault="00611E49" w:rsidP="00155BBC">
            <w:pPr>
              <w:jc w:val="right"/>
              <w:rPr>
                <w:rFonts w:ascii="Arial" w:hAnsi="Arial" w:cs="Arial"/>
                <w:bCs/>
                <w:color w:val="000000"/>
                <w:sz w:val="18"/>
                <w:szCs w:val="18"/>
              </w:rPr>
            </w:pPr>
            <w:r w:rsidRPr="00A966A5">
              <w:rPr>
                <w:rFonts w:ascii="Arial" w:hAnsi="Arial" w:cs="Arial"/>
                <w:bCs/>
                <w:color w:val="000000"/>
                <w:sz w:val="18"/>
                <w:szCs w:val="18"/>
              </w:rPr>
              <w:t>2019</w:t>
            </w:r>
          </w:p>
        </w:tc>
        <w:tc>
          <w:tcPr>
            <w:tcW w:w="1133" w:type="dxa"/>
            <w:shd w:val="clear" w:color="auto" w:fill="9CC2E5" w:themeFill="accent1" w:themeFillTint="99"/>
            <w:noWrap/>
            <w:vAlign w:val="center"/>
            <w:hideMark/>
          </w:tcPr>
          <w:p w14:paraId="136E18D6" w14:textId="77777777" w:rsidR="00611E49" w:rsidRPr="00A966A5" w:rsidRDefault="00611E49" w:rsidP="00155BBC">
            <w:pPr>
              <w:jc w:val="right"/>
              <w:rPr>
                <w:rFonts w:ascii="Arial" w:hAnsi="Arial" w:cs="Arial"/>
                <w:bCs/>
                <w:color w:val="000000"/>
                <w:sz w:val="18"/>
                <w:szCs w:val="18"/>
              </w:rPr>
            </w:pPr>
            <w:r w:rsidRPr="00A966A5">
              <w:rPr>
                <w:rFonts w:ascii="Arial" w:hAnsi="Arial" w:cs="Arial"/>
                <w:bCs/>
                <w:color w:val="000000"/>
                <w:sz w:val="18"/>
                <w:szCs w:val="18"/>
              </w:rPr>
              <w:t>2020</w:t>
            </w:r>
          </w:p>
        </w:tc>
        <w:tc>
          <w:tcPr>
            <w:tcW w:w="1132" w:type="dxa"/>
            <w:shd w:val="clear" w:color="auto" w:fill="9CC2E5" w:themeFill="accent1" w:themeFillTint="99"/>
            <w:noWrap/>
            <w:vAlign w:val="center"/>
            <w:hideMark/>
          </w:tcPr>
          <w:p w14:paraId="01BB8743" w14:textId="77777777" w:rsidR="00611E49" w:rsidRPr="00A966A5" w:rsidRDefault="00611E49" w:rsidP="00155BBC">
            <w:pPr>
              <w:jc w:val="right"/>
              <w:rPr>
                <w:rFonts w:ascii="Arial" w:hAnsi="Arial" w:cs="Arial"/>
                <w:bCs/>
                <w:color w:val="000000"/>
                <w:sz w:val="18"/>
                <w:szCs w:val="18"/>
              </w:rPr>
            </w:pPr>
            <w:r w:rsidRPr="00A966A5">
              <w:rPr>
                <w:rFonts w:ascii="Arial" w:hAnsi="Arial" w:cs="Arial"/>
                <w:bCs/>
                <w:color w:val="000000"/>
                <w:sz w:val="18"/>
                <w:szCs w:val="18"/>
              </w:rPr>
              <w:t>2021</w:t>
            </w:r>
          </w:p>
        </w:tc>
        <w:tc>
          <w:tcPr>
            <w:tcW w:w="1133" w:type="dxa"/>
            <w:shd w:val="clear" w:color="auto" w:fill="9CC2E5" w:themeFill="accent1" w:themeFillTint="99"/>
            <w:noWrap/>
            <w:vAlign w:val="center"/>
            <w:hideMark/>
          </w:tcPr>
          <w:p w14:paraId="1240CDB0" w14:textId="77777777" w:rsidR="00611E49" w:rsidRPr="00A966A5" w:rsidRDefault="00611E49" w:rsidP="00155BBC">
            <w:pPr>
              <w:jc w:val="right"/>
              <w:rPr>
                <w:rFonts w:ascii="Arial" w:hAnsi="Arial" w:cs="Arial"/>
                <w:bCs/>
                <w:color w:val="000000"/>
                <w:sz w:val="18"/>
                <w:szCs w:val="18"/>
              </w:rPr>
            </w:pPr>
            <w:r w:rsidRPr="00A966A5">
              <w:rPr>
                <w:rFonts w:ascii="Arial" w:hAnsi="Arial" w:cs="Arial"/>
                <w:bCs/>
                <w:color w:val="000000"/>
                <w:sz w:val="18"/>
                <w:szCs w:val="18"/>
              </w:rPr>
              <w:t>2022</w:t>
            </w:r>
          </w:p>
        </w:tc>
        <w:tc>
          <w:tcPr>
            <w:tcW w:w="1133" w:type="dxa"/>
            <w:shd w:val="clear" w:color="auto" w:fill="9CC2E5" w:themeFill="accent1" w:themeFillTint="99"/>
            <w:noWrap/>
            <w:vAlign w:val="center"/>
            <w:hideMark/>
          </w:tcPr>
          <w:p w14:paraId="5B1FA331" w14:textId="77777777" w:rsidR="00611E49" w:rsidRPr="00A966A5" w:rsidRDefault="00611E49" w:rsidP="00155BBC">
            <w:pPr>
              <w:jc w:val="right"/>
              <w:rPr>
                <w:rFonts w:ascii="Arial" w:hAnsi="Arial" w:cs="Arial"/>
                <w:bCs/>
                <w:color w:val="000000"/>
                <w:sz w:val="18"/>
                <w:szCs w:val="18"/>
              </w:rPr>
            </w:pPr>
            <w:r w:rsidRPr="00A966A5">
              <w:rPr>
                <w:rFonts w:ascii="Arial" w:hAnsi="Arial" w:cs="Arial"/>
                <w:bCs/>
                <w:color w:val="000000"/>
                <w:sz w:val="18"/>
                <w:szCs w:val="18"/>
              </w:rPr>
              <w:t>2023</w:t>
            </w:r>
          </w:p>
        </w:tc>
      </w:tr>
      <w:tr w:rsidR="00611E49" w:rsidRPr="00150691" w14:paraId="7AF39C63" w14:textId="77777777" w:rsidTr="00335637">
        <w:trPr>
          <w:trHeight w:val="300"/>
        </w:trPr>
        <w:tc>
          <w:tcPr>
            <w:tcW w:w="3126" w:type="dxa"/>
            <w:tcBorders>
              <w:bottom w:val="single" w:sz="2" w:space="0" w:color="auto"/>
            </w:tcBorders>
            <w:shd w:val="clear" w:color="auto" w:fill="auto"/>
            <w:noWrap/>
            <w:vAlign w:val="center"/>
            <w:hideMark/>
          </w:tcPr>
          <w:p w14:paraId="786A4528" w14:textId="77777777" w:rsidR="00611E49" w:rsidRPr="00150691" w:rsidRDefault="00611E49" w:rsidP="00155BBC">
            <w:pPr>
              <w:rPr>
                <w:rFonts w:ascii="Arial Narrow" w:hAnsi="Arial Narrow" w:cs="Calibri"/>
                <w:color w:val="000000"/>
                <w:sz w:val="20"/>
                <w:szCs w:val="20"/>
              </w:rPr>
            </w:pPr>
            <w:r w:rsidRPr="00150691">
              <w:rPr>
                <w:rFonts w:ascii="Arial Narrow" w:hAnsi="Arial Narrow" w:cs="Calibri"/>
                <w:color w:val="000000"/>
                <w:sz w:val="20"/>
                <w:szCs w:val="20"/>
              </w:rPr>
              <w:t>Concedida</w:t>
            </w:r>
          </w:p>
        </w:tc>
        <w:tc>
          <w:tcPr>
            <w:tcW w:w="1132" w:type="dxa"/>
            <w:tcBorders>
              <w:bottom w:val="single" w:sz="2" w:space="0" w:color="auto"/>
            </w:tcBorders>
            <w:shd w:val="clear" w:color="auto" w:fill="auto"/>
            <w:noWrap/>
            <w:vAlign w:val="center"/>
            <w:hideMark/>
          </w:tcPr>
          <w:p w14:paraId="1FEC03BF" w14:textId="77777777" w:rsidR="00611E49" w:rsidRPr="00150691" w:rsidRDefault="00611E49" w:rsidP="00155BBC">
            <w:pPr>
              <w:jc w:val="right"/>
              <w:rPr>
                <w:rFonts w:ascii="Arial Narrow" w:hAnsi="Arial Narrow" w:cs="Calibri"/>
                <w:color w:val="000000" w:themeColor="text1"/>
                <w:sz w:val="20"/>
                <w:szCs w:val="20"/>
              </w:rPr>
            </w:pPr>
            <w:r w:rsidRPr="5D8B6717">
              <w:rPr>
                <w:rFonts w:ascii="Arial Narrow" w:hAnsi="Arial Narrow" w:cs="Calibri"/>
                <w:color w:val="000000" w:themeColor="text1"/>
                <w:sz w:val="20"/>
                <w:szCs w:val="20"/>
              </w:rPr>
              <w:t>14.013</w:t>
            </w:r>
          </w:p>
        </w:tc>
        <w:tc>
          <w:tcPr>
            <w:tcW w:w="1133" w:type="dxa"/>
            <w:tcBorders>
              <w:bottom w:val="single" w:sz="2" w:space="0" w:color="auto"/>
            </w:tcBorders>
            <w:shd w:val="clear" w:color="auto" w:fill="auto"/>
            <w:noWrap/>
            <w:vAlign w:val="center"/>
            <w:hideMark/>
          </w:tcPr>
          <w:p w14:paraId="3C5885BD" w14:textId="77777777" w:rsidR="00611E49" w:rsidRPr="00150691" w:rsidRDefault="00611E49" w:rsidP="00155BBC">
            <w:pPr>
              <w:jc w:val="right"/>
              <w:rPr>
                <w:rFonts w:ascii="Arial Narrow" w:hAnsi="Arial Narrow" w:cs="Calibri"/>
                <w:color w:val="000000"/>
                <w:sz w:val="20"/>
                <w:szCs w:val="20"/>
              </w:rPr>
            </w:pPr>
            <w:r w:rsidRPr="5D8B6717">
              <w:rPr>
                <w:rFonts w:ascii="Arial Narrow" w:hAnsi="Arial Narrow" w:cs="Calibri"/>
                <w:color w:val="000000" w:themeColor="text1"/>
                <w:sz w:val="20"/>
                <w:szCs w:val="20"/>
              </w:rPr>
              <w:t>16.020</w:t>
            </w:r>
          </w:p>
        </w:tc>
        <w:tc>
          <w:tcPr>
            <w:tcW w:w="1132" w:type="dxa"/>
            <w:tcBorders>
              <w:bottom w:val="single" w:sz="2" w:space="0" w:color="auto"/>
            </w:tcBorders>
            <w:shd w:val="clear" w:color="auto" w:fill="auto"/>
            <w:noWrap/>
            <w:vAlign w:val="center"/>
            <w:hideMark/>
          </w:tcPr>
          <w:p w14:paraId="2B0F64D9" w14:textId="77777777" w:rsidR="00611E49" w:rsidRPr="00150691" w:rsidRDefault="00611E49" w:rsidP="00155BBC">
            <w:pPr>
              <w:jc w:val="right"/>
              <w:rPr>
                <w:rFonts w:ascii="Arial Narrow" w:eastAsia="Arial Narrow" w:hAnsi="Arial Narrow" w:cs="Arial Narrow"/>
                <w:sz w:val="20"/>
                <w:szCs w:val="20"/>
              </w:rPr>
            </w:pPr>
            <w:r w:rsidRPr="5D8B6717">
              <w:rPr>
                <w:rFonts w:ascii="Arial Narrow" w:hAnsi="Arial Narrow" w:cs="Calibri"/>
                <w:color w:val="000000" w:themeColor="text1"/>
                <w:sz w:val="20"/>
                <w:szCs w:val="20"/>
              </w:rPr>
              <w:t>16.162</w:t>
            </w:r>
          </w:p>
        </w:tc>
        <w:tc>
          <w:tcPr>
            <w:tcW w:w="1133" w:type="dxa"/>
            <w:tcBorders>
              <w:bottom w:val="single" w:sz="2" w:space="0" w:color="auto"/>
            </w:tcBorders>
            <w:shd w:val="clear" w:color="auto" w:fill="auto"/>
            <w:noWrap/>
            <w:vAlign w:val="center"/>
            <w:hideMark/>
          </w:tcPr>
          <w:p w14:paraId="089CB3B9" w14:textId="77777777" w:rsidR="00611E49" w:rsidRPr="00150691" w:rsidRDefault="00611E49" w:rsidP="00155BBC">
            <w:pPr>
              <w:jc w:val="right"/>
              <w:rPr>
                <w:rFonts w:ascii="Arial Narrow" w:hAnsi="Arial Narrow" w:cs="Calibri"/>
                <w:color w:val="000000"/>
                <w:sz w:val="20"/>
                <w:szCs w:val="20"/>
              </w:rPr>
            </w:pPr>
            <w:r w:rsidRPr="5D8B6717">
              <w:rPr>
                <w:rFonts w:ascii="Arial Narrow" w:hAnsi="Arial Narrow" w:cs="Calibri"/>
                <w:color w:val="000000" w:themeColor="text1"/>
                <w:sz w:val="20"/>
                <w:szCs w:val="20"/>
              </w:rPr>
              <w:t>14.732</w:t>
            </w:r>
          </w:p>
        </w:tc>
        <w:tc>
          <w:tcPr>
            <w:tcW w:w="1133" w:type="dxa"/>
            <w:tcBorders>
              <w:bottom w:val="single" w:sz="2" w:space="0" w:color="auto"/>
            </w:tcBorders>
            <w:shd w:val="clear" w:color="auto" w:fill="auto"/>
            <w:noWrap/>
            <w:vAlign w:val="center"/>
            <w:hideMark/>
          </w:tcPr>
          <w:p w14:paraId="7EA78058" w14:textId="77777777" w:rsidR="00611E49" w:rsidRPr="00150691" w:rsidRDefault="00611E49" w:rsidP="00155BBC">
            <w:pPr>
              <w:jc w:val="right"/>
              <w:rPr>
                <w:rFonts w:ascii="Arial Narrow" w:eastAsia="Arial Narrow" w:hAnsi="Arial Narrow" w:cs="Arial Narrow"/>
                <w:sz w:val="20"/>
                <w:szCs w:val="20"/>
              </w:rPr>
            </w:pPr>
            <w:r w:rsidRPr="5D8B6717">
              <w:rPr>
                <w:rFonts w:ascii="Arial Narrow" w:hAnsi="Arial Narrow" w:cs="Calibri"/>
                <w:color w:val="000000" w:themeColor="text1"/>
                <w:sz w:val="20"/>
                <w:szCs w:val="20"/>
              </w:rPr>
              <w:t>14.426</w:t>
            </w:r>
          </w:p>
        </w:tc>
      </w:tr>
      <w:tr w:rsidR="00611E49" w:rsidRPr="00150691" w14:paraId="273CBBBF" w14:textId="77777777" w:rsidTr="00335637">
        <w:trPr>
          <w:trHeight w:val="300"/>
        </w:trPr>
        <w:tc>
          <w:tcPr>
            <w:tcW w:w="3126" w:type="dxa"/>
            <w:tcBorders>
              <w:top w:val="single" w:sz="2" w:space="0" w:color="auto"/>
              <w:bottom w:val="nil"/>
            </w:tcBorders>
            <w:shd w:val="clear" w:color="auto" w:fill="auto"/>
            <w:noWrap/>
            <w:vAlign w:val="center"/>
            <w:hideMark/>
          </w:tcPr>
          <w:p w14:paraId="6EC37BDF" w14:textId="77777777" w:rsidR="00611E49" w:rsidRPr="00150691" w:rsidRDefault="00611E49" w:rsidP="00155BBC">
            <w:pPr>
              <w:rPr>
                <w:rFonts w:ascii="Arial Narrow" w:hAnsi="Arial Narrow" w:cs="Calibri"/>
                <w:color w:val="000000"/>
                <w:sz w:val="20"/>
                <w:szCs w:val="20"/>
              </w:rPr>
            </w:pPr>
            <w:r w:rsidRPr="00150691">
              <w:rPr>
                <w:rFonts w:ascii="Arial Narrow" w:hAnsi="Arial Narrow" w:cs="Calibri"/>
                <w:color w:val="000000"/>
                <w:sz w:val="20"/>
                <w:szCs w:val="20"/>
              </w:rPr>
              <w:t>No concedida:</w:t>
            </w:r>
          </w:p>
        </w:tc>
        <w:tc>
          <w:tcPr>
            <w:tcW w:w="1132" w:type="dxa"/>
            <w:tcBorders>
              <w:top w:val="single" w:sz="2" w:space="0" w:color="auto"/>
              <w:bottom w:val="nil"/>
            </w:tcBorders>
            <w:shd w:val="clear" w:color="auto" w:fill="auto"/>
            <w:noWrap/>
            <w:vAlign w:val="center"/>
            <w:hideMark/>
          </w:tcPr>
          <w:p w14:paraId="5C74083B" w14:textId="77777777" w:rsidR="00611E49" w:rsidRPr="00150691" w:rsidRDefault="00611E49" w:rsidP="00155BBC">
            <w:pPr>
              <w:jc w:val="right"/>
              <w:rPr>
                <w:rFonts w:ascii="Arial Narrow" w:hAnsi="Arial Narrow" w:cs="Calibri"/>
                <w:color w:val="000000"/>
                <w:sz w:val="20"/>
                <w:szCs w:val="20"/>
              </w:rPr>
            </w:pPr>
            <w:r w:rsidRPr="00150691">
              <w:rPr>
                <w:rFonts w:ascii="Arial Narrow" w:hAnsi="Arial Narrow" w:cs="Calibri"/>
                <w:color w:val="000000"/>
                <w:sz w:val="20"/>
                <w:szCs w:val="20"/>
              </w:rPr>
              <w:t>2.422</w:t>
            </w:r>
          </w:p>
        </w:tc>
        <w:tc>
          <w:tcPr>
            <w:tcW w:w="1133" w:type="dxa"/>
            <w:tcBorders>
              <w:top w:val="single" w:sz="2" w:space="0" w:color="auto"/>
              <w:bottom w:val="nil"/>
            </w:tcBorders>
            <w:shd w:val="clear" w:color="auto" w:fill="auto"/>
            <w:noWrap/>
            <w:vAlign w:val="center"/>
            <w:hideMark/>
          </w:tcPr>
          <w:p w14:paraId="6A6CA0C3" w14:textId="77777777" w:rsidR="00611E49" w:rsidRPr="00150691" w:rsidRDefault="00611E49" w:rsidP="00155BBC">
            <w:pPr>
              <w:jc w:val="right"/>
              <w:rPr>
                <w:rFonts w:ascii="Arial Narrow" w:hAnsi="Arial Narrow" w:cs="Calibri"/>
                <w:color w:val="000000"/>
                <w:sz w:val="20"/>
                <w:szCs w:val="20"/>
              </w:rPr>
            </w:pPr>
            <w:r w:rsidRPr="00150691">
              <w:rPr>
                <w:rFonts w:ascii="Arial Narrow" w:hAnsi="Arial Narrow" w:cs="Calibri"/>
                <w:color w:val="000000"/>
                <w:sz w:val="20"/>
                <w:szCs w:val="20"/>
              </w:rPr>
              <w:t>2.878</w:t>
            </w:r>
          </w:p>
        </w:tc>
        <w:tc>
          <w:tcPr>
            <w:tcW w:w="1132" w:type="dxa"/>
            <w:tcBorders>
              <w:top w:val="single" w:sz="2" w:space="0" w:color="auto"/>
              <w:bottom w:val="nil"/>
            </w:tcBorders>
            <w:shd w:val="clear" w:color="auto" w:fill="auto"/>
            <w:noWrap/>
            <w:vAlign w:val="center"/>
            <w:hideMark/>
          </w:tcPr>
          <w:p w14:paraId="6460572B" w14:textId="77777777" w:rsidR="00611E49" w:rsidRPr="00150691" w:rsidRDefault="00611E49" w:rsidP="00155BBC">
            <w:pPr>
              <w:jc w:val="right"/>
              <w:rPr>
                <w:rFonts w:ascii="Arial Narrow" w:hAnsi="Arial Narrow" w:cs="Calibri"/>
                <w:color w:val="000000"/>
                <w:sz w:val="20"/>
                <w:szCs w:val="20"/>
              </w:rPr>
            </w:pPr>
            <w:r w:rsidRPr="00150691">
              <w:rPr>
                <w:rFonts w:ascii="Arial Narrow" w:hAnsi="Arial Narrow" w:cs="Calibri"/>
                <w:color w:val="000000"/>
                <w:sz w:val="20"/>
                <w:szCs w:val="20"/>
              </w:rPr>
              <w:t>2.932</w:t>
            </w:r>
          </w:p>
        </w:tc>
        <w:tc>
          <w:tcPr>
            <w:tcW w:w="1133" w:type="dxa"/>
            <w:tcBorders>
              <w:top w:val="single" w:sz="2" w:space="0" w:color="auto"/>
              <w:bottom w:val="nil"/>
            </w:tcBorders>
            <w:shd w:val="clear" w:color="auto" w:fill="auto"/>
            <w:noWrap/>
            <w:vAlign w:val="center"/>
            <w:hideMark/>
          </w:tcPr>
          <w:p w14:paraId="5EFCEFE6" w14:textId="77777777" w:rsidR="00611E49" w:rsidRPr="00150691" w:rsidRDefault="00611E49" w:rsidP="00155BBC">
            <w:pPr>
              <w:jc w:val="right"/>
              <w:rPr>
                <w:rFonts w:ascii="Arial Narrow" w:hAnsi="Arial Narrow" w:cs="Calibri"/>
                <w:color w:val="000000"/>
                <w:sz w:val="20"/>
                <w:szCs w:val="20"/>
              </w:rPr>
            </w:pPr>
            <w:r w:rsidRPr="00150691">
              <w:rPr>
                <w:rFonts w:ascii="Arial Narrow" w:hAnsi="Arial Narrow" w:cs="Calibri"/>
                <w:color w:val="000000"/>
                <w:sz w:val="20"/>
                <w:szCs w:val="20"/>
              </w:rPr>
              <w:t>3.079</w:t>
            </w:r>
          </w:p>
        </w:tc>
        <w:tc>
          <w:tcPr>
            <w:tcW w:w="1133" w:type="dxa"/>
            <w:tcBorders>
              <w:top w:val="single" w:sz="2" w:space="0" w:color="auto"/>
              <w:bottom w:val="nil"/>
            </w:tcBorders>
            <w:shd w:val="clear" w:color="auto" w:fill="auto"/>
            <w:noWrap/>
            <w:vAlign w:val="center"/>
            <w:hideMark/>
          </w:tcPr>
          <w:p w14:paraId="288C3E3F" w14:textId="77777777" w:rsidR="00611E49" w:rsidRPr="00150691" w:rsidRDefault="00611E49" w:rsidP="00155BBC">
            <w:pPr>
              <w:jc w:val="right"/>
              <w:rPr>
                <w:rFonts w:ascii="Arial Narrow" w:hAnsi="Arial Narrow" w:cs="Calibri"/>
                <w:color w:val="000000"/>
                <w:sz w:val="20"/>
                <w:szCs w:val="20"/>
              </w:rPr>
            </w:pPr>
            <w:r w:rsidRPr="00150691">
              <w:rPr>
                <w:rFonts w:ascii="Arial Narrow" w:hAnsi="Arial Narrow" w:cs="Calibri"/>
                <w:color w:val="000000"/>
                <w:sz w:val="20"/>
                <w:szCs w:val="20"/>
              </w:rPr>
              <w:t>3.105</w:t>
            </w:r>
          </w:p>
        </w:tc>
      </w:tr>
      <w:tr w:rsidR="00611E49" w:rsidRPr="00150691" w14:paraId="64319031" w14:textId="77777777" w:rsidTr="00335637">
        <w:trPr>
          <w:trHeight w:val="300"/>
        </w:trPr>
        <w:tc>
          <w:tcPr>
            <w:tcW w:w="3126" w:type="dxa"/>
            <w:tcBorders>
              <w:top w:val="nil"/>
              <w:bottom w:val="nil"/>
            </w:tcBorders>
            <w:shd w:val="clear" w:color="auto" w:fill="auto"/>
            <w:noWrap/>
            <w:vAlign w:val="center"/>
            <w:hideMark/>
          </w:tcPr>
          <w:p w14:paraId="5FFB6574" w14:textId="53CD7FCA" w:rsidR="00611E49" w:rsidRPr="00150691" w:rsidRDefault="00611E49" w:rsidP="00335637">
            <w:pPr>
              <w:ind w:firstLine="217"/>
              <w:rPr>
                <w:rFonts w:ascii="Arial Narrow" w:hAnsi="Arial Narrow" w:cs="Calibri"/>
                <w:i/>
                <w:iCs/>
                <w:color w:val="000000"/>
                <w:sz w:val="20"/>
                <w:szCs w:val="20"/>
              </w:rPr>
            </w:pPr>
            <w:r w:rsidRPr="00150691">
              <w:rPr>
                <w:rFonts w:ascii="Arial Narrow" w:hAnsi="Arial Narrow" w:cs="Calibri"/>
                <w:i/>
                <w:iCs/>
                <w:color w:val="000000"/>
                <w:sz w:val="20"/>
                <w:szCs w:val="20"/>
              </w:rPr>
              <w:t>Denegadas</w:t>
            </w:r>
          </w:p>
        </w:tc>
        <w:tc>
          <w:tcPr>
            <w:tcW w:w="1132" w:type="dxa"/>
            <w:tcBorders>
              <w:top w:val="nil"/>
              <w:bottom w:val="nil"/>
            </w:tcBorders>
            <w:shd w:val="clear" w:color="auto" w:fill="auto"/>
            <w:noWrap/>
            <w:vAlign w:val="center"/>
            <w:hideMark/>
          </w:tcPr>
          <w:p w14:paraId="4A6FEF87"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1.588</w:t>
            </w:r>
          </w:p>
        </w:tc>
        <w:tc>
          <w:tcPr>
            <w:tcW w:w="1133" w:type="dxa"/>
            <w:tcBorders>
              <w:top w:val="nil"/>
              <w:bottom w:val="nil"/>
            </w:tcBorders>
            <w:shd w:val="clear" w:color="auto" w:fill="auto"/>
            <w:noWrap/>
            <w:vAlign w:val="center"/>
            <w:hideMark/>
          </w:tcPr>
          <w:p w14:paraId="4344E675"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1.855</w:t>
            </w:r>
          </w:p>
        </w:tc>
        <w:tc>
          <w:tcPr>
            <w:tcW w:w="1132" w:type="dxa"/>
            <w:tcBorders>
              <w:top w:val="nil"/>
              <w:bottom w:val="nil"/>
            </w:tcBorders>
            <w:shd w:val="clear" w:color="auto" w:fill="auto"/>
            <w:noWrap/>
            <w:vAlign w:val="center"/>
            <w:hideMark/>
          </w:tcPr>
          <w:p w14:paraId="4549FD3B"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1.751</w:t>
            </w:r>
          </w:p>
        </w:tc>
        <w:tc>
          <w:tcPr>
            <w:tcW w:w="1133" w:type="dxa"/>
            <w:tcBorders>
              <w:top w:val="nil"/>
              <w:bottom w:val="nil"/>
            </w:tcBorders>
            <w:shd w:val="clear" w:color="auto" w:fill="auto"/>
            <w:noWrap/>
            <w:vAlign w:val="center"/>
            <w:hideMark/>
          </w:tcPr>
          <w:p w14:paraId="42849B66"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1.862</w:t>
            </w:r>
          </w:p>
        </w:tc>
        <w:tc>
          <w:tcPr>
            <w:tcW w:w="1133" w:type="dxa"/>
            <w:tcBorders>
              <w:top w:val="nil"/>
              <w:bottom w:val="nil"/>
            </w:tcBorders>
            <w:shd w:val="clear" w:color="auto" w:fill="auto"/>
            <w:noWrap/>
            <w:vAlign w:val="center"/>
            <w:hideMark/>
          </w:tcPr>
          <w:p w14:paraId="744A5F29"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1.897</w:t>
            </w:r>
          </w:p>
        </w:tc>
      </w:tr>
      <w:tr w:rsidR="00611E49" w:rsidRPr="00150691" w14:paraId="69DA3422" w14:textId="77777777" w:rsidTr="00335637">
        <w:trPr>
          <w:trHeight w:val="300"/>
        </w:trPr>
        <w:tc>
          <w:tcPr>
            <w:tcW w:w="3126" w:type="dxa"/>
            <w:tcBorders>
              <w:top w:val="nil"/>
              <w:bottom w:val="nil"/>
            </w:tcBorders>
            <w:shd w:val="clear" w:color="auto" w:fill="auto"/>
            <w:noWrap/>
            <w:vAlign w:val="center"/>
            <w:hideMark/>
          </w:tcPr>
          <w:p w14:paraId="5C75A202" w14:textId="7AFA37C5" w:rsidR="00611E49" w:rsidRPr="00150691" w:rsidRDefault="00611E49" w:rsidP="00335637">
            <w:pPr>
              <w:ind w:firstLine="217"/>
              <w:rPr>
                <w:rFonts w:ascii="Arial Narrow" w:hAnsi="Arial Narrow" w:cs="Calibri"/>
                <w:i/>
                <w:iCs/>
                <w:color w:val="000000"/>
                <w:sz w:val="20"/>
                <w:szCs w:val="20"/>
              </w:rPr>
            </w:pPr>
            <w:r w:rsidRPr="00150691">
              <w:rPr>
                <w:rFonts w:ascii="Arial Narrow" w:hAnsi="Arial Narrow" w:cs="Calibri"/>
                <w:i/>
                <w:iCs/>
                <w:color w:val="000000" w:themeColor="text1"/>
                <w:sz w:val="20"/>
                <w:szCs w:val="20"/>
              </w:rPr>
              <w:t>Archivadas</w:t>
            </w:r>
          </w:p>
        </w:tc>
        <w:tc>
          <w:tcPr>
            <w:tcW w:w="1132" w:type="dxa"/>
            <w:tcBorders>
              <w:top w:val="nil"/>
              <w:bottom w:val="nil"/>
            </w:tcBorders>
            <w:shd w:val="clear" w:color="auto" w:fill="auto"/>
            <w:noWrap/>
            <w:vAlign w:val="center"/>
            <w:hideMark/>
          </w:tcPr>
          <w:p w14:paraId="27D50A62"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829</w:t>
            </w:r>
          </w:p>
        </w:tc>
        <w:tc>
          <w:tcPr>
            <w:tcW w:w="1133" w:type="dxa"/>
            <w:tcBorders>
              <w:top w:val="nil"/>
              <w:bottom w:val="nil"/>
            </w:tcBorders>
            <w:shd w:val="clear" w:color="auto" w:fill="auto"/>
            <w:noWrap/>
            <w:vAlign w:val="center"/>
            <w:hideMark/>
          </w:tcPr>
          <w:p w14:paraId="32FC1B68"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1.019</w:t>
            </w:r>
          </w:p>
        </w:tc>
        <w:tc>
          <w:tcPr>
            <w:tcW w:w="1132" w:type="dxa"/>
            <w:tcBorders>
              <w:top w:val="nil"/>
              <w:bottom w:val="nil"/>
            </w:tcBorders>
            <w:shd w:val="clear" w:color="auto" w:fill="auto"/>
            <w:noWrap/>
            <w:vAlign w:val="center"/>
            <w:hideMark/>
          </w:tcPr>
          <w:p w14:paraId="0CB43B67"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1.175</w:t>
            </w:r>
          </w:p>
        </w:tc>
        <w:tc>
          <w:tcPr>
            <w:tcW w:w="1133" w:type="dxa"/>
            <w:tcBorders>
              <w:top w:val="nil"/>
              <w:bottom w:val="nil"/>
            </w:tcBorders>
            <w:shd w:val="clear" w:color="auto" w:fill="auto"/>
            <w:noWrap/>
            <w:vAlign w:val="center"/>
            <w:hideMark/>
          </w:tcPr>
          <w:p w14:paraId="795790FE"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1.214</w:t>
            </w:r>
          </w:p>
        </w:tc>
        <w:tc>
          <w:tcPr>
            <w:tcW w:w="1133" w:type="dxa"/>
            <w:tcBorders>
              <w:top w:val="nil"/>
              <w:bottom w:val="nil"/>
            </w:tcBorders>
            <w:shd w:val="clear" w:color="auto" w:fill="auto"/>
            <w:noWrap/>
            <w:vAlign w:val="center"/>
            <w:hideMark/>
          </w:tcPr>
          <w:p w14:paraId="2F62516B"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1.206</w:t>
            </w:r>
          </w:p>
        </w:tc>
      </w:tr>
      <w:tr w:rsidR="00611E49" w:rsidRPr="00150691" w14:paraId="088A2528" w14:textId="77777777" w:rsidTr="00335637">
        <w:trPr>
          <w:trHeight w:val="300"/>
        </w:trPr>
        <w:tc>
          <w:tcPr>
            <w:tcW w:w="3126" w:type="dxa"/>
            <w:tcBorders>
              <w:top w:val="nil"/>
              <w:bottom w:val="single" w:sz="2" w:space="0" w:color="auto"/>
            </w:tcBorders>
            <w:shd w:val="clear" w:color="auto" w:fill="auto"/>
            <w:noWrap/>
            <w:vAlign w:val="center"/>
            <w:hideMark/>
          </w:tcPr>
          <w:p w14:paraId="730EFA61" w14:textId="4CFC627F" w:rsidR="00611E49" w:rsidRPr="00150691" w:rsidRDefault="00611E49" w:rsidP="00335637">
            <w:pPr>
              <w:ind w:firstLine="217"/>
              <w:rPr>
                <w:rFonts w:ascii="Arial Narrow" w:hAnsi="Arial Narrow" w:cs="Calibri"/>
                <w:i/>
                <w:iCs/>
                <w:color w:val="000000"/>
                <w:sz w:val="20"/>
                <w:szCs w:val="20"/>
              </w:rPr>
            </w:pPr>
            <w:r w:rsidRPr="00150691">
              <w:rPr>
                <w:rFonts w:ascii="Arial Narrow" w:hAnsi="Arial Narrow" w:cs="Calibri"/>
                <w:i/>
                <w:iCs/>
                <w:color w:val="000000"/>
                <w:sz w:val="20"/>
                <w:szCs w:val="20"/>
              </w:rPr>
              <w:t>Anuladas</w:t>
            </w:r>
          </w:p>
        </w:tc>
        <w:tc>
          <w:tcPr>
            <w:tcW w:w="1132" w:type="dxa"/>
            <w:tcBorders>
              <w:top w:val="nil"/>
              <w:bottom w:val="single" w:sz="2" w:space="0" w:color="auto"/>
            </w:tcBorders>
            <w:shd w:val="clear" w:color="auto" w:fill="auto"/>
            <w:noWrap/>
            <w:vAlign w:val="center"/>
            <w:hideMark/>
          </w:tcPr>
          <w:p w14:paraId="20A84903"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5</w:t>
            </w:r>
          </w:p>
        </w:tc>
        <w:tc>
          <w:tcPr>
            <w:tcW w:w="1133" w:type="dxa"/>
            <w:tcBorders>
              <w:top w:val="nil"/>
              <w:bottom w:val="single" w:sz="2" w:space="0" w:color="auto"/>
            </w:tcBorders>
            <w:shd w:val="clear" w:color="auto" w:fill="auto"/>
            <w:noWrap/>
            <w:vAlign w:val="center"/>
            <w:hideMark/>
          </w:tcPr>
          <w:p w14:paraId="7305AF9C"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4</w:t>
            </w:r>
          </w:p>
        </w:tc>
        <w:tc>
          <w:tcPr>
            <w:tcW w:w="1132" w:type="dxa"/>
            <w:tcBorders>
              <w:top w:val="nil"/>
              <w:bottom w:val="single" w:sz="2" w:space="0" w:color="auto"/>
            </w:tcBorders>
            <w:shd w:val="clear" w:color="auto" w:fill="auto"/>
            <w:noWrap/>
            <w:vAlign w:val="center"/>
            <w:hideMark/>
          </w:tcPr>
          <w:p w14:paraId="3C2EE45D"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6</w:t>
            </w:r>
          </w:p>
        </w:tc>
        <w:tc>
          <w:tcPr>
            <w:tcW w:w="1133" w:type="dxa"/>
            <w:tcBorders>
              <w:top w:val="nil"/>
              <w:bottom w:val="single" w:sz="2" w:space="0" w:color="auto"/>
            </w:tcBorders>
            <w:shd w:val="clear" w:color="auto" w:fill="auto"/>
            <w:noWrap/>
            <w:vAlign w:val="center"/>
            <w:hideMark/>
          </w:tcPr>
          <w:p w14:paraId="6DFBA4D1"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3</w:t>
            </w:r>
          </w:p>
        </w:tc>
        <w:tc>
          <w:tcPr>
            <w:tcW w:w="1133" w:type="dxa"/>
            <w:tcBorders>
              <w:top w:val="nil"/>
              <w:bottom w:val="single" w:sz="2" w:space="0" w:color="auto"/>
            </w:tcBorders>
            <w:shd w:val="clear" w:color="auto" w:fill="auto"/>
            <w:noWrap/>
            <w:vAlign w:val="center"/>
            <w:hideMark/>
          </w:tcPr>
          <w:p w14:paraId="69EEC861" w14:textId="77777777" w:rsidR="00611E49" w:rsidRPr="00150691" w:rsidRDefault="00611E49" w:rsidP="00155BBC">
            <w:pPr>
              <w:jc w:val="right"/>
              <w:rPr>
                <w:rFonts w:ascii="Arial Narrow" w:hAnsi="Arial Narrow" w:cs="Calibri"/>
                <w:i/>
                <w:iCs/>
                <w:color w:val="000000"/>
                <w:sz w:val="20"/>
                <w:szCs w:val="20"/>
              </w:rPr>
            </w:pPr>
            <w:r w:rsidRPr="00150691">
              <w:rPr>
                <w:rFonts w:ascii="Arial Narrow" w:hAnsi="Arial Narrow" w:cs="Calibri"/>
                <w:i/>
                <w:iCs/>
                <w:color w:val="000000"/>
                <w:sz w:val="20"/>
                <w:szCs w:val="20"/>
              </w:rPr>
              <w:t>2</w:t>
            </w:r>
          </w:p>
        </w:tc>
      </w:tr>
      <w:tr w:rsidR="00611E49" w:rsidRPr="00150691" w14:paraId="6E031306" w14:textId="77777777" w:rsidTr="00335637">
        <w:trPr>
          <w:trHeight w:val="300"/>
        </w:trPr>
        <w:tc>
          <w:tcPr>
            <w:tcW w:w="3126" w:type="dxa"/>
            <w:tcBorders>
              <w:top w:val="single" w:sz="2" w:space="0" w:color="auto"/>
            </w:tcBorders>
            <w:shd w:val="clear" w:color="auto" w:fill="auto"/>
            <w:noWrap/>
            <w:vAlign w:val="center"/>
            <w:hideMark/>
          </w:tcPr>
          <w:p w14:paraId="36C022EF" w14:textId="59410C93" w:rsidR="00611E49" w:rsidRPr="00150691" w:rsidRDefault="00611E49" w:rsidP="00155BBC">
            <w:pPr>
              <w:rPr>
                <w:rFonts w:ascii="Arial Narrow" w:hAnsi="Arial Narrow" w:cs="Calibri"/>
                <w:color w:val="000000"/>
                <w:sz w:val="20"/>
                <w:szCs w:val="20"/>
              </w:rPr>
            </w:pPr>
            <w:r w:rsidRPr="3896A6D9">
              <w:rPr>
                <w:rFonts w:ascii="Arial Narrow" w:hAnsi="Arial Narrow" w:cs="Calibri"/>
                <w:color w:val="000000" w:themeColor="text1"/>
                <w:sz w:val="20"/>
                <w:szCs w:val="20"/>
              </w:rPr>
              <w:t>Pendiente de resolver</w:t>
            </w:r>
            <w:r w:rsidR="125139D3" w:rsidRPr="3896A6D9">
              <w:rPr>
                <w:rFonts w:ascii="Arial Narrow" w:hAnsi="Arial Narrow" w:cs="Calibri"/>
                <w:color w:val="000000" w:themeColor="text1"/>
                <w:sz w:val="20"/>
                <w:szCs w:val="20"/>
              </w:rPr>
              <w:t xml:space="preserve"> a 31 de diciembre</w:t>
            </w:r>
          </w:p>
        </w:tc>
        <w:tc>
          <w:tcPr>
            <w:tcW w:w="1132" w:type="dxa"/>
            <w:tcBorders>
              <w:top w:val="single" w:sz="2" w:space="0" w:color="auto"/>
            </w:tcBorders>
            <w:shd w:val="clear" w:color="auto" w:fill="auto"/>
            <w:noWrap/>
            <w:vAlign w:val="center"/>
            <w:hideMark/>
          </w:tcPr>
          <w:p w14:paraId="0408F588" w14:textId="77777777" w:rsidR="00611E49" w:rsidRPr="00150691" w:rsidRDefault="00611E49" w:rsidP="00155BBC">
            <w:pPr>
              <w:jc w:val="right"/>
              <w:rPr>
                <w:rFonts w:ascii="Arial Narrow" w:hAnsi="Arial Narrow" w:cs="Calibri"/>
                <w:color w:val="000000"/>
                <w:sz w:val="20"/>
                <w:szCs w:val="20"/>
              </w:rPr>
            </w:pPr>
            <w:r w:rsidRPr="00150691">
              <w:rPr>
                <w:rFonts w:ascii="Arial Narrow" w:hAnsi="Arial Narrow" w:cs="Calibri"/>
                <w:color w:val="000000"/>
                <w:sz w:val="20"/>
                <w:szCs w:val="20"/>
              </w:rPr>
              <w:t>- </w:t>
            </w:r>
          </w:p>
        </w:tc>
        <w:tc>
          <w:tcPr>
            <w:tcW w:w="1133" w:type="dxa"/>
            <w:tcBorders>
              <w:top w:val="single" w:sz="2" w:space="0" w:color="auto"/>
            </w:tcBorders>
            <w:shd w:val="clear" w:color="auto" w:fill="auto"/>
            <w:noWrap/>
            <w:vAlign w:val="center"/>
            <w:hideMark/>
          </w:tcPr>
          <w:p w14:paraId="66C0198D" w14:textId="77777777" w:rsidR="00611E49" w:rsidRPr="00150691" w:rsidRDefault="00611E49" w:rsidP="00155BBC">
            <w:pPr>
              <w:jc w:val="right"/>
              <w:rPr>
                <w:rFonts w:ascii="Arial Narrow" w:hAnsi="Arial Narrow" w:cs="Calibri"/>
                <w:color w:val="000000"/>
                <w:sz w:val="20"/>
                <w:szCs w:val="20"/>
              </w:rPr>
            </w:pPr>
            <w:r w:rsidRPr="00150691">
              <w:rPr>
                <w:rFonts w:ascii="Arial Narrow" w:hAnsi="Arial Narrow" w:cs="Calibri"/>
                <w:color w:val="000000"/>
                <w:sz w:val="20"/>
                <w:szCs w:val="20"/>
              </w:rPr>
              <w:t>- </w:t>
            </w:r>
          </w:p>
        </w:tc>
        <w:tc>
          <w:tcPr>
            <w:tcW w:w="1132" w:type="dxa"/>
            <w:tcBorders>
              <w:top w:val="single" w:sz="2" w:space="0" w:color="auto"/>
            </w:tcBorders>
            <w:shd w:val="clear" w:color="auto" w:fill="auto"/>
            <w:noWrap/>
            <w:vAlign w:val="center"/>
            <w:hideMark/>
          </w:tcPr>
          <w:p w14:paraId="72A12A6F" w14:textId="77777777" w:rsidR="00611E49" w:rsidRPr="00150691" w:rsidRDefault="00611E49" w:rsidP="00155BBC">
            <w:pPr>
              <w:jc w:val="right"/>
              <w:rPr>
                <w:rFonts w:ascii="Arial Narrow" w:hAnsi="Arial Narrow" w:cs="Calibri"/>
                <w:color w:val="000000"/>
                <w:sz w:val="20"/>
                <w:szCs w:val="20"/>
              </w:rPr>
            </w:pPr>
            <w:r w:rsidRPr="00150691">
              <w:rPr>
                <w:rFonts w:ascii="Arial Narrow" w:hAnsi="Arial Narrow" w:cs="Calibri"/>
                <w:color w:val="000000"/>
                <w:sz w:val="20"/>
                <w:szCs w:val="20"/>
              </w:rPr>
              <w:t>- </w:t>
            </w:r>
          </w:p>
        </w:tc>
        <w:tc>
          <w:tcPr>
            <w:tcW w:w="1133" w:type="dxa"/>
            <w:tcBorders>
              <w:top w:val="single" w:sz="2" w:space="0" w:color="auto"/>
            </w:tcBorders>
            <w:shd w:val="clear" w:color="auto" w:fill="auto"/>
            <w:noWrap/>
            <w:vAlign w:val="center"/>
            <w:hideMark/>
          </w:tcPr>
          <w:p w14:paraId="2BE5D9F7" w14:textId="77777777" w:rsidR="00611E49" w:rsidRPr="00150691" w:rsidRDefault="00611E49" w:rsidP="00155BBC">
            <w:pPr>
              <w:jc w:val="right"/>
              <w:rPr>
                <w:rFonts w:ascii="Arial Narrow" w:hAnsi="Arial Narrow" w:cs="Calibri"/>
                <w:color w:val="000000"/>
                <w:sz w:val="20"/>
                <w:szCs w:val="20"/>
              </w:rPr>
            </w:pPr>
            <w:r w:rsidRPr="00150691">
              <w:rPr>
                <w:rFonts w:ascii="Arial Narrow" w:hAnsi="Arial Narrow" w:cs="Calibri"/>
                <w:color w:val="000000"/>
                <w:sz w:val="20"/>
                <w:szCs w:val="20"/>
              </w:rPr>
              <w:t>1</w:t>
            </w:r>
          </w:p>
        </w:tc>
        <w:tc>
          <w:tcPr>
            <w:tcW w:w="1133" w:type="dxa"/>
            <w:tcBorders>
              <w:top w:val="single" w:sz="2" w:space="0" w:color="auto"/>
            </w:tcBorders>
            <w:shd w:val="clear" w:color="auto" w:fill="auto"/>
            <w:noWrap/>
            <w:vAlign w:val="center"/>
            <w:hideMark/>
          </w:tcPr>
          <w:p w14:paraId="2BE7931A" w14:textId="77777777" w:rsidR="00611E49" w:rsidRPr="00150691" w:rsidRDefault="00611E49" w:rsidP="00155BBC">
            <w:pPr>
              <w:jc w:val="right"/>
              <w:rPr>
                <w:rFonts w:ascii="Arial Narrow" w:hAnsi="Arial Narrow" w:cs="Calibri"/>
                <w:color w:val="000000"/>
                <w:sz w:val="20"/>
                <w:szCs w:val="20"/>
              </w:rPr>
            </w:pPr>
            <w:r w:rsidRPr="00150691">
              <w:rPr>
                <w:rFonts w:ascii="Arial Narrow" w:hAnsi="Arial Narrow" w:cs="Calibri"/>
                <w:color w:val="000000"/>
                <w:sz w:val="20"/>
                <w:szCs w:val="20"/>
              </w:rPr>
              <w:t>93</w:t>
            </w:r>
          </w:p>
        </w:tc>
      </w:tr>
      <w:tr w:rsidR="00611E49" w:rsidRPr="00A966A5" w14:paraId="1C2C8211" w14:textId="77777777" w:rsidTr="00335637">
        <w:trPr>
          <w:trHeight w:val="300"/>
        </w:trPr>
        <w:tc>
          <w:tcPr>
            <w:tcW w:w="3126" w:type="dxa"/>
            <w:shd w:val="clear" w:color="auto" w:fill="9CC2E5" w:themeFill="accent1" w:themeFillTint="99"/>
            <w:noWrap/>
            <w:vAlign w:val="center"/>
            <w:hideMark/>
          </w:tcPr>
          <w:p w14:paraId="06FDD16F" w14:textId="77777777" w:rsidR="00611E49" w:rsidRPr="00A966A5" w:rsidRDefault="00611E49" w:rsidP="00155BBC">
            <w:pPr>
              <w:rPr>
                <w:rFonts w:ascii="Arial" w:hAnsi="Arial" w:cs="Arial"/>
                <w:color w:val="000000"/>
                <w:sz w:val="18"/>
                <w:szCs w:val="18"/>
              </w:rPr>
            </w:pPr>
            <w:r w:rsidRPr="00A966A5">
              <w:rPr>
                <w:rFonts w:ascii="Arial" w:hAnsi="Arial" w:cs="Arial"/>
                <w:color w:val="000000"/>
                <w:sz w:val="18"/>
                <w:szCs w:val="18"/>
              </w:rPr>
              <w:t>Total</w:t>
            </w:r>
          </w:p>
        </w:tc>
        <w:tc>
          <w:tcPr>
            <w:tcW w:w="1132" w:type="dxa"/>
            <w:shd w:val="clear" w:color="auto" w:fill="9CC2E5" w:themeFill="accent1" w:themeFillTint="99"/>
            <w:noWrap/>
            <w:vAlign w:val="center"/>
            <w:hideMark/>
          </w:tcPr>
          <w:p w14:paraId="5258335D" w14:textId="77777777" w:rsidR="00611E49" w:rsidRDefault="00611E49" w:rsidP="00155BBC">
            <w:pPr>
              <w:jc w:val="right"/>
              <w:rPr>
                <w:rFonts w:ascii="Arial" w:eastAsia="Arial" w:hAnsi="Arial" w:cs="Arial"/>
                <w:sz w:val="18"/>
                <w:szCs w:val="18"/>
              </w:rPr>
            </w:pPr>
            <w:r w:rsidRPr="5D8B6717">
              <w:rPr>
                <w:rFonts w:ascii="Arial" w:hAnsi="Arial" w:cs="Arial"/>
                <w:color w:val="000000" w:themeColor="text1"/>
                <w:sz w:val="18"/>
                <w:szCs w:val="18"/>
              </w:rPr>
              <w:t>16.435</w:t>
            </w:r>
          </w:p>
        </w:tc>
        <w:tc>
          <w:tcPr>
            <w:tcW w:w="1133" w:type="dxa"/>
            <w:shd w:val="clear" w:color="auto" w:fill="9CC2E5" w:themeFill="accent1" w:themeFillTint="99"/>
            <w:noWrap/>
            <w:vAlign w:val="center"/>
            <w:hideMark/>
          </w:tcPr>
          <w:p w14:paraId="1CB75ECA" w14:textId="77777777" w:rsidR="00611E49" w:rsidRDefault="00611E49" w:rsidP="00155BBC">
            <w:pPr>
              <w:jc w:val="right"/>
              <w:rPr>
                <w:rFonts w:ascii="Arial" w:eastAsia="Arial" w:hAnsi="Arial" w:cs="Arial"/>
                <w:sz w:val="18"/>
                <w:szCs w:val="18"/>
              </w:rPr>
            </w:pPr>
            <w:r w:rsidRPr="5D8B6717">
              <w:rPr>
                <w:rFonts w:ascii="Arial" w:hAnsi="Arial" w:cs="Arial"/>
                <w:color w:val="000000" w:themeColor="text1"/>
                <w:sz w:val="18"/>
                <w:szCs w:val="18"/>
              </w:rPr>
              <w:t>18.898</w:t>
            </w:r>
          </w:p>
        </w:tc>
        <w:tc>
          <w:tcPr>
            <w:tcW w:w="1132" w:type="dxa"/>
            <w:shd w:val="clear" w:color="auto" w:fill="9CC2E5" w:themeFill="accent1" w:themeFillTint="99"/>
            <w:noWrap/>
            <w:vAlign w:val="center"/>
            <w:hideMark/>
          </w:tcPr>
          <w:p w14:paraId="41BC235B" w14:textId="77777777" w:rsidR="00611E49" w:rsidRDefault="00611E49" w:rsidP="00155BBC">
            <w:pPr>
              <w:jc w:val="right"/>
              <w:rPr>
                <w:rFonts w:ascii="Arial" w:hAnsi="Arial" w:cs="Arial"/>
                <w:color w:val="000000"/>
                <w:sz w:val="18"/>
                <w:szCs w:val="18"/>
              </w:rPr>
            </w:pPr>
            <w:r w:rsidRPr="5D8B6717">
              <w:rPr>
                <w:rFonts w:ascii="Arial" w:hAnsi="Arial" w:cs="Arial"/>
                <w:color w:val="000000" w:themeColor="text1"/>
                <w:sz w:val="18"/>
                <w:szCs w:val="18"/>
              </w:rPr>
              <w:t>19.094</w:t>
            </w:r>
          </w:p>
        </w:tc>
        <w:tc>
          <w:tcPr>
            <w:tcW w:w="1133" w:type="dxa"/>
            <w:shd w:val="clear" w:color="auto" w:fill="9CC2E5" w:themeFill="accent1" w:themeFillTint="99"/>
            <w:noWrap/>
            <w:vAlign w:val="center"/>
            <w:hideMark/>
          </w:tcPr>
          <w:p w14:paraId="69A527D5" w14:textId="77777777" w:rsidR="00611E49" w:rsidRDefault="00611E49" w:rsidP="00155BBC">
            <w:pPr>
              <w:jc w:val="right"/>
              <w:rPr>
                <w:rFonts w:ascii="Arial" w:hAnsi="Arial" w:cs="Arial"/>
                <w:color w:val="000000"/>
                <w:sz w:val="18"/>
                <w:szCs w:val="18"/>
              </w:rPr>
            </w:pPr>
            <w:r w:rsidRPr="5D8B6717">
              <w:rPr>
                <w:rFonts w:ascii="Arial" w:hAnsi="Arial" w:cs="Arial"/>
                <w:color w:val="000000" w:themeColor="text1"/>
                <w:sz w:val="18"/>
                <w:szCs w:val="18"/>
              </w:rPr>
              <w:t>17.812</w:t>
            </w:r>
          </w:p>
        </w:tc>
        <w:tc>
          <w:tcPr>
            <w:tcW w:w="1133" w:type="dxa"/>
            <w:shd w:val="clear" w:color="auto" w:fill="9CC2E5" w:themeFill="accent1" w:themeFillTint="99"/>
            <w:noWrap/>
            <w:vAlign w:val="center"/>
            <w:hideMark/>
          </w:tcPr>
          <w:p w14:paraId="7FF6050B" w14:textId="77777777" w:rsidR="00611E49" w:rsidRDefault="00611E49" w:rsidP="00155BBC">
            <w:pPr>
              <w:jc w:val="right"/>
              <w:rPr>
                <w:rFonts w:ascii="Arial" w:eastAsia="Arial" w:hAnsi="Arial" w:cs="Arial"/>
                <w:sz w:val="18"/>
                <w:szCs w:val="18"/>
              </w:rPr>
            </w:pPr>
            <w:r w:rsidRPr="5D8B6717">
              <w:rPr>
                <w:rFonts w:ascii="Arial" w:hAnsi="Arial" w:cs="Arial"/>
                <w:color w:val="000000" w:themeColor="text1"/>
                <w:sz w:val="18"/>
                <w:szCs w:val="18"/>
              </w:rPr>
              <w:t>17.624</w:t>
            </w:r>
          </w:p>
        </w:tc>
      </w:tr>
    </w:tbl>
    <w:p w14:paraId="72867E72" w14:textId="602C41B9" w:rsidR="00611E49" w:rsidRDefault="00611E49" w:rsidP="0027110E">
      <w:pPr>
        <w:pStyle w:val="texto"/>
        <w:spacing w:before="240" w:after="140"/>
        <w:jc w:val="both"/>
        <w:rPr>
          <w:rFonts w:eastAsia="Calibri"/>
        </w:rPr>
      </w:pPr>
      <w:r w:rsidRPr="3896A6D9">
        <w:rPr>
          <w:rFonts w:eastAsia="Calibri"/>
        </w:rPr>
        <w:t xml:space="preserve">En 2023 </w:t>
      </w:r>
      <w:r w:rsidR="0DD7A2E6" w:rsidRPr="3896A6D9">
        <w:rPr>
          <w:rFonts w:eastAsia="Calibri"/>
        </w:rPr>
        <w:t>el departamento recibió</w:t>
      </w:r>
      <w:r w:rsidRPr="3896A6D9">
        <w:rPr>
          <w:rFonts w:eastAsia="Calibri"/>
        </w:rPr>
        <w:t xml:space="preserve"> 17.624 solicitudes</w:t>
      </w:r>
      <w:r w:rsidR="005F087F">
        <w:rPr>
          <w:rFonts w:eastAsia="Calibri"/>
        </w:rPr>
        <w:t>,</w:t>
      </w:r>
      <w:r w:rsidRPr="3896A6D9">
        <w:rPr>
          <w:rFonts w:eastAsia="Calibri"/>
        </w:rPr>
        <w:t xml:space="preserve"> de las cuales se concedieron el 82 por ciento y no fueron </w:t>
      </w:r>
      <w:r w:rsidRPr="3896A6D9">
        <w:t>concedidas</w:t>
      </w:r>
      <w:r w:rsidRPr="3896A6D9">
        <w:rPr>
          <w:rFonts w:eastAsia="Calibri"/>
        </w:rPr>
        <w:t xml:space="preserve"> el 18 por ciento. Estos porcentajes son similares en el resto de años analizados. </w:t>
      </w:r>
    </w:p>
    <w:p w14:paraId="2CADC511" w14:textId="77777777" w:rsidR="00611E49" w:rsidRPr="00516F88"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lang w:val="es-ES_tradnl"/>
        </w:rPr>
      </w:pPr>
      <w:r w:rsidRPr="00516F88">
        <w:rPr>
          <w:rFonts w:eastAsia="Calibri"/>
          <w:szCs w:val="26"/>
        </w:rPr>
        <w:t>El personal técnico encargado de la gestión de la RG realiza mensualmente una serie de controles para revisar la situación laboral de las personas y su disponibilidad para el empleo, verificar posibles salidas al extranjero o percepción de nuevas ayudas o prestaciones.</w:t>
      </w:r>
    </w:p>
    <w:p w14:paraId="216DD526" w14:textId="3588ACE7" w:rsidR="00611E49" w:rsidRDefault="00611E49" w:rsidP="3896A6D9">
      <w:pPr>
        <w:pStyle w:val="texto"/>
        <w:spacing w:after="140"/>
        <w:jc w:val="both"/>
        <w:rPr>
          <w:rFonts w:eastAsia="Calibri"/>
        </w:rPr>
      </w:pPr>
      <w:r w:rsidRPr="3896A6D9">
        <w:rPr>
          <w:rFonts w:eastAsia="Calibri"/>
        </w:rPr>
        <w:t xml:space="preserve">En caso de que se detecten indicios suficientes de que concurren causas de extinción de la </w:t>
      </w:r>
      <w:r w:rsidRPr="3896A6D9">
        <w:t>prestación</w:t>
      </w:r>
      <w:r w:rsidRPr="3896A6D9">
        <w:rPr>
          <w:rFonts w:eastAsia="Calibri"/>
        </w:rPr>
        <w:t>, se suspende cautelarmente su abono</w:t>
      </w:r>
      <w:r w:rsidR="5580BCAB" w:rsidRPr="3896A6D9">
        <w:rPr>
          <w:rFonts w:eastAsia="Calibri"/>
        </w:rPr>
        <w:t>,</w:t>
      </w:r>
      <w:r w:rsidRPr="3896A6D9">
        <w:rPr>
          <w:rFonts w:eastAsia="Calibri"/>
        </w:rPr>
        <w:t xml:space="preserve"> como medida provisional</w:t>
      </w:r>
      <w:r w:rsidR="3118F9F0" w:rsidRPr="3896A6D9">
        <w:rPr>
          <w:rFonts w:eastAsia="Calibri"/>
        </w:rPr>
        <w:t>,</w:t>
      </w:r>
      <w:r w:rsidRPr="3896A6D9">
        <w:rPr>
          <w:rFonts w:eastAsia="Calibri"/>
        </w:rPr>
        <w:t xml:space="preserve"> por un máximo de dos meses.</w:t>
      </w:r>
    </w:p>
    <w:p w14:paraId="3801522E" w14:textId="1CC8BF65" w:rsidR="00611E49" w:rsidRDefault="00611E49" w:rsidP="3896A6D9">
      <w:pPr>
        <w:pStyle w:val="texto"/>
        <w:spacing w:after="140"/>
        <w:jc w:val="both"/>
        <w:rPr>
          <w:rFonts w:eastAsia="Calibri"/>
        </w:rPr>
      </w:pPr>
      <w:r w:rsidRPr="3896A6D9">
        <w:rPr>
          <w:rFonts w:eastAsia="Calibri"/>
        </w:rPr>
        <w:t xml:space="preserve">Esta resolución puede llevar incorporada una reclamación de cobros indebidos con una carta de pago </w:t>
      </w:r>
      <w:r w:rsidRPr="3896A6D9">
        <w:t>para</w:t>
      </w:r>
      <w:r w:rsidRPr="3896A6D9">
        <w:rPr>
          <w:rFonts w:eastAsia="Calibri"/>
        </w:rPr>
        <w:t xml:space="preserve"> que la persona perceptora reintegre dichas cantidades. </w:t>
      </w:r>
      <w:r w:rsidR="00131696" w:rsidRPr="3896A6D9">
        <w:rPr>
          <w:rFonts w:eastAsia="Calibri"/>
        </w:rPr>
        <w:t>L</w:t>
      </w:r>
      <w:r w:rsidRPr="3896A6D9">
        <w:rPr>
          <w:rFonts w:eastAsia="Calibri"/>
        </w:rPr>
        <w:t>a persona perceptora puede ingresar las cantidades en plazo, no hacerlo</w:t>
      </w:r>
      <w:r w:rsidR="00131696" w:rsidRPr="3896A6D9">
        <w:rPr>
          <w:rFonts w:eastAsia="Calibri"/>
        </w:rPr>
        <w:t>,</w:t>
      </w:r>
      <w:r w:rsidRPr="3896A6D9">
        <w:rPr>
          <w:rFonts w:eastAsia="Calibri"/>
        </w:rPr>
        <w:t xml:space="preserve"> o solicitar pago fraccionado, en cuyo caso, hay que derivar la deuda a la Hacienda Foral de Navarra que es el organismo competente para aceptar pagos fraccionados de deudas. </w:t>
      </w:r>
    </w:p>
    <w:p w14:paraId="25BA7200" w14:textId="77777777" w:rsidR="00611E49" w:rsidRDefault="00611E49" w:rsidP="00A215EC">
      <w:pPr>
        <w:pStyle w:val="texto"/>
        <w:spacing w:after="140"/>
        <w:jc w:val="both"/>
        <w:rPr>
          <w:rFonts w:eastAsia="Calibri"/>
          <w:szCs w:val="26"/>
        </w:rPr>
      </w:pPr>
      <w:r w:rsidRPr="18FF00D8">
        <w:rPr>
          <w:rFonts w:eastAsia="Calibri"/>
          <w:szCs w:val="26"/>
        </w:rPr>
        <w:lastRenderedPageBreak/>
        <w:t xml:space="preserve">En caso de que los cobros indebidos no se ingresen en plazo, el departamento remite esta </w:t>
      </w:r>
      <w:r w:rsidRPr="00A215EC">
        <w:rPr>
          <w:lang w:val="es-ES_tradnl"/>
        </w:rPr>
        <w:t>información</w:t>
      </w:r>
      <w:r w:rsidRPr="18FF00D8">
        <w:rPr>
          <w:rFonts w:eastAsia="Calibri"/>
          <w:szCs w:val="26"/>
        </w:rPr>
        <w:t xml:space="preserve"> a la Hacienda Foral de Navarra para que gestione dicha deuda.</w:t>
      </w:r>
    </w:p>
    <w:p w14:paraId="7CB421D1"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lang w:val="es-ES_tradnl"/>
        </w:rPr>
      </w:pPr>
      <w:r>
        <w:rPr>
          <w:rFonts w:eastAsia="Calibri"/>
          <w:szCs w:val="26"/>
          <w:lang w:val="es-ES_tradnl"/>
        </w:rPr>
        <w:t xml:space="preserve">Para la renovación de la RG, la persona perceptora debe presentar la solicitud el último mes de </w:t>
      </w:r>
      <w:r w:rsidRPr="00461770">
        <w:rPr>
          <w:rFonts w:eastAsia="Calibri"/>
          <w:szCs w:val="26"/>
        </w:rPr>
        <w:t>prestación</w:t>
      </w:r>
      <w:r>
        <w:rPr>
          <w:rFonts w:eastAsia="Calibri"/>
          <w:szCs w:val="26"/>
          <w:lang w:val="es-ES_tradnl"/>
        </w:rPr>
        <w:t xml:space="preserve"> en los SSB o en las UAT.</w:t>
      </w:r>
    </w:p>
    <w:p w14:paraId="3DC1E311" w14:textId="5FAB56B3" w:rsidR="00131696" w:rsidRDefault="00611E49" w:rsidP="00A215EC">
      <w:pPr>
        <w:pStyle w:val="texto"/>
        <w:spacing w:after="140"/>
        <w:jc w:val="both"/>
        <w:rPr>
          <w:rFonts w:eastAsia="Calibri"/>
          <w:szCs w:val="26"/>
        </w:rPr>
      </w:pPr>
      <w:r w:rsidRPr="0CCF8A85">
        <w:rPr>
          <w:rFonts w:eastAsia="Calibri"/>
          <w:szCs w:val="26"/>
        </w:rPr>
        <w:t xml:space="preserve">Mensualmente, el personal técnico revisa estas solicitudes de tal forma que, según unos criterios </w:t>
      </w:r>
      <w:r w:rsidRPr="00A215EC">
        <w:rPr>
          <w:lang w:val="es-ES_tradnl"/>
        </w:rPr>
        <w:t>establecidos</w:t>
      </w:r>
      <w:r w:rsidRPr="0CCF8A85">
        <w:rPr>
          <w:rFonts w:eastAsia="Calibri"/>
          <w:szCs w:val="26"/>
        </w:rPr>
        <w:t>, algunas se renuevan automáticamente y otras se analizan más exhaustivamente. Una vez revisadas estas últimas, se resuelve sobre si procede o no la renovación.</w:t>
      </w:r>
    </w:p>
    <w:p w14:paraId="089F2E40" w14:textId="016DCF8E" w:rsidR="00131696" w:rsidRPr="00461770" w:rsidRDefault="00131696" w:rsidP="00461770">
      <w:pPr>
        <w:pStyle w:val="atitulo3"/>
        <w:spacing w:before="240"/>
      </w:pPr>
      <w:r w:rsidRPr="00461770">
        <w:t>Inspección</w:t>
      </w:r>
    </w:p>
    <w:p w14:paraId="3F914ABE" w14:textId="4B58EA0A" w:rsidR="00611E49" w:rsidRDefault="00131696" w:rsidP="00A215EC">
      <w:pPr>
        <w:pStyle w:val="texto"/>
        <w:spacing w:after="140"/>
        <w:jc w:val="both"/>
        <w:rPr>
          <w:rFonts w:eastAsia="Calibri"/>
        </w:rPr>
      </w:pPr>
      <w:r w:rsidRPr="3896A6D9">
        <w:rPr>
          <w:rFonts w:eastAsia="Calibri"/>
        </w:rPr>
        <w:t xml:space="preserve">Por otro lado, en el departamento existe la </w:t>
      </w:r>
      <w:r w:rsidR="00611E49" w:rsidRPr="3896A6D9">
        <w:rPr>
          <w:rFonts w:eastAsia="Calibri"/>
        </w:rPr>
        <w:t>Sección de Inspección de la Secretaría General Técnica</w:t>
      </w:r>
      <w:r w:rsidR="056BFA05" w:rsidRPr="3896A6D9">
        <w:rPr>
          <w:rFonts w:eastAsia="Calibri"/>
        </w:rPr>
        <w:t>,</w:t>
      </w:r>
      <w:r w:rsidR="00611E49" w:rsidRPr="3896A6D9">
        <w:rPr>
          <w:rFonts w:eastAsia="Calibri"/>
        </w:rPr>
        <w:t xml:space="preserve"> </w:t>
      </w:r>
      <w:r w:rsidR="00715E6A" w:rsidRPr="3896A6D9">
        <w:rPr>
          <w:rFonts w:eastAsia="Calibri"/>
        </w:rPr>
        <w:t>que</w:t>
      </w:r>
      <w:r w:rsidR="00611E49" w:rsidRPr="3896A6D9">
        <w:rPr>
          <w:rFonts w:eastAsia="Calibri"/>
        </w:rPr>
        <w:t xml:space="preserve"> ejecuta el Plan de Inspección de Servicios Sociales</w:t>
      </w:r>
      <w:r w:rsidR="00715E6A" w:rsidRPr="3896A6D9">
        <w:rPr>
          <w:rFonts w:eastAsia="Calibri"/>
        </w:rPr>
        <w:t>. Dicho plan</w:t>
      </w:r>
      <w:r w:rsidR="00611E49" w:rsidRPr="3896A6D9">
        <w:rPr>
          <w:rFonts w:eastAsia="Calibri"/>
        </w:rPr>
        <w:t xml:space="preserve"> contiene una línea específica orientada a</w:t>
      </w:r>
      <w:r w:rsidR="28C8B9D2" w:rsidRPr="3896A6D9">
        <w:rPr>
          <w:rFonts w:eastAsia="Calibri"/>
        </w:rPr>
        <w:t xml:space="preserve"> controlar e</w:t>
      </w:r>
      <w:r w:rsidR="00611E49" w:rsidRPr="3896A6D9">
        <w:rPr>
          <w:rFonts w:eastAsia="Calibri"/>
        </w:rPr>
        <w:t>l cumplimiento de los requisitos por ser beneficiario de la RG, con especial incidencia en la convivencia y residencia.</w:t>
      </w:r>
    </w:p>
    <w:p w14:paraId="43ED40B4" w14:textId="77777777" w:rsidR="00611E49" w:rsidRDefault="00611E49" w:rsidP="00A215EC">
      <w:pPr>
        <w:pStyle w:val="texto"/>
        <w:spacing w:after="140"/>
        <w:jc w:val="both"/>
        <w:rPr>
          <w:rFonts w:eastAsia="Calibri"/>
          <w:szCs w:val="26"/>
        </w:rPr>
      </w:pPr>
      <w:r w:rsidRPr="33F9D20B">
        <w:rPr>
          <w:rFonts w:eastAsia="Calibri"/>
          <w:szCs w:val="26"/>
        </w:rPr>
        <w:t xml:space="preserve">El personal técnico de la sección remite a la Sección de Inspección informes de expedientes de RG concedidos </w:t>
      </w:r>
      <w:r>
        <w:rPr>
          <w:rFonts w:eastAsia="Calibri"/>
          <w:szCs w:val="26"/>
        </w:rPr>
        <w:t>sobre los que se tiene dudas sobre el cumplimiento de los requisitos de</w:t>
      </w:r>
      <w:r w:rsidRPr="33F9D20B">
        <w:rPr>
          <w:rFonts w:eastAsia="Calibri"/>
          <w:szCs w:val="26"/>
        </w:rPr>
        <w:t xml:space="preserve"> </w:t>
      </w:r>
      <w:r w:rsidRPr="00A215EC">
        <w:rPr>
          <w:lang w:val="es-ES_tradnl"/>
        </w:rPr>
        <w:t>convivencia</w:t>
      </w:r>
      <w:r w:rsidRPr="33F9D20B">
        <w:rPr>
          <w:rFonts w:eastAsia="Calibri"/>
          <w:szCs w:val="26"/>
        </w:rPr>
        <w:t xml:space="preserve"> y empadronamiento/residencia</w:t>
      </w:r>
      <w:r>
        <w:rPr>
          <w:rFonts w:eastAsia="Calibri"/>
          <w:szCs w:val="26"/>
        </w:rPr>
        <w:t xml:space="preserve"> o sobre los que se han recibido</w:t>
      </w:r>
      <w:r w:rsidRPr="33F9D20B">
        <w:rPr>
          <w:rFonts w:eastAsia="Calibri"/>
          <w:szCs w:val="26"/>
        </w:rPr>
        <w:t xml:space="preserve"> denuncias.</w:t>
      </w:r>
    </w:p>
    <w:p w14:paraId="7FD7FF85" w14:textId="3878EDA7" w:rsidR="00611E49" w:rsidRDefault="00611E49" w:rsidP="3896A6D9">
      <w:pPr>
        <w:pStyle w:val="texto"/>
        <w:spacing w:after="140"/>
        <w:jc w:val="both"/>
        <w:rPr>
          <w:rFonts w:eastAsia="Calibri"/>
        </w:rPr>
      </w:pPr>
      <w:r w:rsidRPr="3896A6D9">
        <w:rPr>
          <w:rFonts w:eastAsia="Calibri"/>
        </w:rPr>
        <w:t xml:space="preserve">La Sección de </w:t>
      </w:r>
      <w:r w:rsidRPr="3896A6D9">
        <w:t>Inspección</w:t>
      </w:r>
      <w:r w:rsidRPr="3896A6D9">
        <w:rPr>
          <w:rFonts w:eastAsia="Calibri"/>
        </w:rPr>
        <w:t xml:space="preserve"> remite a la </w:t>
      </w:r>
      <w:r w:rsidR="53635F79" w:rsidRPr="3896A6D9">
        <w:rPr>
          <w:rFonts w:eastAsia="Calibri"/>
        </w:rPr>
        <w:t>P</w:t>
      </w:r>
      <w:r w:rsidRPr="3896A6D9">
        <w:rPr>
          <w:rFonts w:eastAsia="Calibri"/>
        </w:rPr>
        <w:t xml:space="preserve">olicía </w:t>
      </w:r>
      <w:r w:rsidR="6CB47D60" w:rsidRPr="3896A6D9">
        <w:rPr>
          <w:rFonts w:eastAsia="Calibri"/>
        </w:rPr>
        <w:t>F</w:t>
      </w:r>
      <w:r w:rsidRPr="3896A6D9">
        <w:rPr>
          <w:rFonts w:eastAsia="Calibri"/>
        </w:rPr>
        <w:t xml:space="preserve">oral dichos expedientes para su investigación. Con los informes que elabora este cuerpo policial, la sección decide qué hacer en cada caso. </w:t>
      </w:r>
    </w:p>
    <w:p w14:paraId="1241F4F1" w14:textId="66296983" w:rsidR="00CC5754" w:rsidRDefault="00CC5754" w:rsidP="3896A6D9">
      <w:pPr>
        <w:pStyle w:val="texto"/>
        <w:spacing w:after="140"/>
        <w:jc w:val="both"/>
        <w:rPr>
          <w:rFonts w:eastAsia="Calibri"/>
        </w:rPr>
      </w:pPr>
      <w:r>
        <w:rPr>
          <w:rFonts w:eastAsia="Calibri"/>
        </w:rPr>
        <w:t xml:space="preserve">Señalamos como novedad en el procedimiento </w:t>
      </w:r>
      <w:r w:rsidR="003E2F86">
        <w:rPr>
          <w:rFonts w:eastAsia="Calibri"/>
        </w:rPr>
        <w:t xml:space="preserve">de inspección respecto al de 2019 que, en 2021, </w:t>
      </w:r>
      <w:r w:rsidRPr="3896A6D9">
        <w:rPr>
          <w:rFonts w:eastAsia="Calibri"/>
        </w:rPr>
        <w:t xml:space="preserve">el Defensor del Pueblo de Navarra dictó una resolución en la que recomendaba no </w:t>
      </w:r>
      <w:r w:rsidR="003E2F86">
        <w:rPr>
          <w:rFonts w:eastAsia="Calibri"/>
        </w:rPr>
        <w:t>dar</w:t>
      </w:r>
      <w:r w:rsidRPr="3896A6D9">
        <w:rPr>
          <w:rFonts w:eastAsia="Calibri"/>
        </w:rPr>
        <w:t xml:space="preserve"> de baja</w:t>
      </w:r>
      <w:r w:rsidR="003E2F86">
        <w:rPr>
          <w:rFonts w:eastAsia="Calibri"/>
        </w:rPr>
        <w:t xml:space="preserve"> directamente</w:t>
      </w:r>
      <w:r w:rsidRPr="3896A6D9">
        <w:rPr>
          <w:rFonts w:eastAsia="Calibri"/>
        </w:rPr>
        <w:t xml:space="preserve"> </w:t>
      </w:r>
      <w:r w:rsidR="003E2F86">
        <w:rPr>
          <w:rFonts w:eastAsia="Calibri"/>
        </w:rPr>
        <w:t xml:space="preserve">la prestación, aunque se considerara que procedía, </w:t>
      </w:r>
      <w:r w:rsidRPr="3896A6D9">
        <w:rPr>
          <w:rFonts w:eastAsia="Calibri"/>
        </w:rPr>
        <w:t xml:space="preserve">sino dar opción a que la persona beneficiaria pudiera presentar alegaciones. Por este motivo, si se considera que puede proceder dar de bajar la prestación y no se puede contactar directamente con la persona beneficiaria, la prestación se suspende abriéndose un periodo de </w:t>
      </w:r>
      <w:r w:rsidRPr="3896A6D9">
        <w:t>alegaciones</w:t>
      </w:r>
      <w:r w:rsidRPr="3896A6D9">
        <w:rPr>
          <w:rFonts w:eastAsia="Calibri"/>
        </w:rPr>
        <w:t xml:space="preserve"> tras el cual se acaba resolviendo si se mantiene la prestación o se da de baja</w:t>
      </w:r>
      <w:r w:rsidR="003E2F86">
        <w:rPr>
          <w:rFonts w:eastAsia="Calibri"/>
        </w:rPr>
        <w:t>.</w:t>
      </w:r>
    </w:p>
    <w:p w14:paraId="1C72921F" w14:textId="77777777" w:rsidR="00611E49" w:rsidRDefault="00611E49" w:rsidP="00A215EC">
      <w:pPr>
        <w:pStyle w:val="texto"/>
        <w:spacing w:after="140"/>
        <w:jc w:val="both"/>
        <w:rPr>
          <w:rFonts w:eastAsia="Calibri"/>
          <w:szCs w:val="26"/>
        </w:rPr>
      </w:pPr>
      <w:r w:rsidRPr="0CCF8A85">
        <w:rPr>
          <w:rFonts w:eastAsia="Calibri"/>
          <w:szCs w:val="26"/>
        </w:rPr>
        <w:t xml:space="preserve">Al respecto </w:t>
      </w:r>
      <w:r w:rsidRPr="00A215EC">
        <w:rPr>
          <w:lang w:val="es-ES_tradnl"/>
        </w:rPr>
        <w:t>señalamos</w:t>
      </w:r>
      <w:r w:rsidRPr="0CCF8A85">
        <w:rPr>
          <w:rFonts w:eastAsia="Calibri"/>
          <w:szCs w:val="26"/>
        </w:rPr>
        <w:t xml:space="preserve"> lo siguiente: </w:t>
      </w:r>
    </w:p>
    <w:p w14:paraId="725C6C07" w14:textId="6686BD53" w:rsidR="00611E49" w:rsidRDefault="00611E49"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rsidRPr="3896A6D9">
        <w:rPr>
          <w:rFonts w:eastAsia="Calibri"/>
        </w:rPr>
        <w:t xml:space="preserve">Existe un retraso significativo en la investigación llevada a cabo por la </w:t>
      </w:r>
      <w:r w:rsidR="3BF70C2D" w:rsidRPr="3896A6D9">
        <w:rPr>
          <w:rFonts w:eastAsia="Calibri"/>
        </w:rPr>
        <w:t>P</w:t>
      </w:r>
      <w:r w:rsidRPr="3896A6D9">
        <w:rPr>
          <w:rFonts w:eastAsia="Calibri"/>
        </w:rPr>
        <w:t xml:space="preserve">olicía </w:t>
      </w:r>
      <w:r w:rsidR="1741224E" w:rsidRPr="3896A6D9">
        <w:rPr>
          <w:rFonts w:eastAsia="Calibri"/>
        </w:rPr>
        <w:t>F</w:t>
      </w:r>
      <w:r w:rsidRPr="3896A6D9">
        <w:rPr>
          <w:rFonts w:eastAsia="Calibri"/>
        </w:rPr>
        <w:t>oral de los supuestos incumplimientos</w:t>
      </w:r>
      <w:r w:rsidR="64CC8739" w:rsidRPr="3896A6D9">
        <w:rPr>
          <w:rFonts w:eastAsia="Calibri"/>
        </w:rPr>
        <w:t>, debido a la</w:t>
      </w:r>
      <w:r w:rsidRPr="3896A6D9">
        <w:rPr>
          <w:rFonts w:eastAsia="Calibri"/>
        </w:rPr>
        <w:t xml:space="preserve"> carencia de medios.</w:t>
      </w:r>
    </w:p>
    <w:p w14:paraId="5EA92E4B" w14:textId="71454EF4"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rPr>
      </w:pPr>
      <w:r w:rsidRPr="5D8B6717">
        <w:rPr>
          <w:rFonts w:eastAsia="Calibri"/>
          <w:szCs w:val="26"/>
        </w:rPr>
        <w:t>En caso de que la prestación se extinga, al día siguiente se puede volver a solicitar si desaparece</w:t>
      </w:r>
      <w:r w:rsidR="003E2F86">
        <w:rPr>
          <w:rFonts w:eastAsia="Calibri"/>
          <w:szCs w:val="26"/>
        </w:rPr>
        <w:t xml:space="preserve"> el hecho causante de la sanción</w:t>
      </w:r>
      <w:r w:rsidRPr="5D8B6717">
        <w:rPr>
          <w:rFonts w:eastAsia="Calibri"/>
          <w:szCs w:val="26"/>
        </w:rPr>
        <w:t xml:space="preserve">. </w:t>
      </w:r>
    </w:p>
    <w:p w14:paraId="1B61E6DD" w14:textId="585F2F16"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rPr>
      </w:pPr>
      <w:r w:rsidRPr="5D8B6717">
        <w:rPr>
          <w:rFonts w:eastAsia="Calibri"/>
          <w:szCs w:val="26"/>
        </w:rPr>
        <w:t xml:space="preserve">La normativa contempla infracciones leves, graves y muy graves que </w:t>
      </w:r>
      <w:r>
        <w:rPr>
          <w:rFonts w:eastAsia="Calibri"/>
          <w:szCs w:val="26"/>
        </w:rPr>
        <w:t>pueden acarrear sanciones. Estas</w:t>
      </w:r>
      <w:r w:rsidRPr="5D8B6717">
        <w:rPr>
          <w:rFonts w:eastAsia="Calibri"/>
          <w:szCs w:val="26"/>
        </w:rPr>
        <w:t xml:space="preserve"> sanciones van desde el apercibimiento hasta la imposibilidad de acceder a la RG en distintos periodos</w:t>
      </w:r>
      <w:r w:rsidR="00C004A1">
        <w:rPr>
          <w:rFonts w:eastAsia="Calibri"/>
          <w:szCs w:val="26"/>
        </w:rPr>
        <w:t>,</w:t>
      </w:r>
      <w:r w:rsidRPr="5D8B6717">
        <w:rPr>
          <w:rFonts w:eastAsia="Calibri"/>
          <w:szCs w:val="26"/>
        </w:rPr>
        <w:t xml:space="preserve"> incluyendo sanciones económicas entre 1.000 y 3.000 euros. </w:t>
      </w:r>
    </w:p>
    <w:p w14:paraId="15E26A2E" w14:textId="429C7E35" w:rsidR="00611E49" w:rsidRDefault="00611E49" w:rsidP="3896A6D9">
      <w:pPr>
        <w:pStyle w:val="texto"/>
        <w:spacing w:after="240"/>
        <w:jc w:val="both"/>
      </w:pPr>
      <w:r>
        <w:lastRenderedPageBreak/>
        <w:t xml:space="preserve">En el periodo 2019-2023, de acuerdo a la información proporcionada por la sección, se </w:t>
      </w:r>
      <w:r w:rsidRPr="3896A6D9">
        <w:t>inspeccionaron</w:t>
      </w:r>
      <w:r>
        <w:t xml:space="preserve"> 737 expedientes </w:t>
      </w:r>
      <w:r w:rsidR="4DC6D5ED">
        <w:t>obteniendo los siguientes resultados</w:t>
      </w:r>
      <w:r>
        <w:t>:</w:t>
      </w:r>
    </w:p>
    <w:tbl>
      <w:tblPr>
        <w:tblW w:w="8789"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632"/>
        <w:gridCol w:w="1231"/>
        <w:gridCol w:w="1231"/>
        <w:gridCol w:w="1232"/>
        <w:gridCol w:w="1231"/>
        <w:gridCol w:w="1232"/>
      </w:tblGrid>
      <w:tr w:rsidR="00611E49" w14:paraId="3B9EED7F" w14:textId="77777777" w:rsidTr="00247DB6">
        <w:trPr>
          <w:trHeight w:val="255"/>
        </w:trPr>
        <w:tc>
          <w:tcPr>
            <w:tcW w:w="2632" w:type="dxa"/>
            <w:shd w:val="clear" w:color="auto" w:fill="9CC2E5" w:themeFill="accent1" w:themeFillTint="99"/>
            <w:vAlign w:val="center"/>
          </w:tcPr>
          <w:p w14:paraId="2A101B89" w14:textId="241871EB" w:rsidR="00611E49" w:rsidRDefault="00611E49" w:rsidP="00155BBC">
            <w:pPr>
              <w:rPr>
                <w:rFonts w:ascii="Arial" w:hAnsi="Arial" w:cs="Arial"/>
                <w:color w:val="000000" w:themeColor="text1"/>
                <w:sz w:val="18"/>
                <w:szCs w:val="18"/>
              </w:rPr>
            </w:pPr>
          </w:p>
        </w:tc>
        <w:tc>
          <w:tcPr>
            <w:tcW w:w="1231" w:type="dxa"/>
            <w:shd w:val="clear" w:color="auto" w:fill="9CC2E5" w:themeFill="accent1" w:themeFillTint="99"/>
            <w:vAlign w:val="center"/>
          </w:tcPr>
          <w:p w14:paraId="46FD32C8"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2019</w:t>
            </w:r>
          </w:p>
        </w:tc>
        <w:tc>
          <w:tcPr>
            <w:tcW w:w="1231" w:type="dxa"/>
            <w:shd w:val="clear" w:color="auto" w:fill="9CC2E5" w:themeFill="accent1" w:themeFillTint="99"/>
            <w:vAlign w:val="center"/>
          </w:tcPr>
          <w:p w14:paraId="7A91FE97"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2020</w:t>
            </w:r>
          </w:p>
        </w:tc>
        <w:tc>
          <w:tcPr>
            <w:tcW w:w="1232" w:type="dxa"/>
            <w:shd w:val="clear" w:color="auto" w:fill="9CC2E5" w:themeFill="accent1" w:themeFillTint="99"/>
            <w:vAlign w:val="center"/>
          </w:tcPr>
          <w:p w14:paraId="4DE0E230"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2021</w:t>
            </w:r>
          </w:p>
        </w:tc>
        <w:tc>
          <w:tcPr>
            <w:tcW w:w="1231" w:type="dxa"/>
            <w:shd w:val="clear" w:color="auto" w:fill="9CC2E5" w:themeFill="accent1" w:themeFillTint="99"/>
            <w:vAlign w:val="center"/>
          </w:tcPr>
          <w:p w14:paraId="475224AD"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2022</w:t>
            </w:r>
          </w:p>
        </w:tc>
        <w:tc>
          <w:tcPr>
            <w:tcW w:w="1232" w:type="dxa"/>
            <w:shd w:val="clear" w:color="auto" w:fill="9CC2E5" w:themeFill="accent1" w:themeFillTint="99"/>
            <w:vAlign w:val="center"/>
          </w:tcPr>
          <w:p w14:paraId="3555E780"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2023</w:t>
            </w:r>
          </w:p>
        </w:tc>
      </w:tr>
      <w:tr w:rsidR="00611E49" w:rsidRPr="009C2DD1" w14:paraId="06CB4C8B" w14:textId="77777777" w:rsidTr="00247DB6">
        <w:trPr>
          <w:trHeight w:val="198"/>
        </w:trPr>
        <w:tc>
          <w:tcPr>
            <w:tcW w:w="2632" w:type="dxa"/>
            <w:tcBorders>
              <w:bottom w:val="single" w:sz="2" w:space="0" w:color="auto"/>
            </w:tcBorders>
            <w:shd w:val="clear" w:color="auto" w:fill="auto"/>
            <w:vAlign w:val="center"/>
          </w:tcPr>
          <w:p w14:paraId="5B09EC5D" w14:textId="77777777" w:rsidR="00611E49" w:rsidRPr="009C2DD1" w:rsidRDefault="00611E49" w:rsidP="00155BBC">
            <w:pPr>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Archivo, no incumplimiento</w:t>
            </w:r>
          </w:p>
        </w:tc>
        <w:tc>
          <w:tcPr>
            <w:tcW w:w="1231" w:type="dxa"/>
            <w:tcBorders>
              <w:bottom w:val="single" w:sz="2" w:space="0" w:color="auto"/>
            </w:tcBorders>
            <w:shd w:val="clear" w:color="auto" w:fill="auto"/>
            <w:vAlign w:val="center"/>
          </w:tcPr>
          <w:p w14:paraId="26BD93B6"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38</w:t>
            </w:r>
          </w:p>
        </w:tc>
        <w:tc>
          <w:tcPr>
            <w:tcW w:w="1231" w:type="dxa"/>
            <w:tcBorders>
              <w:bottom w:val="single" w:sz="2" w:space="0" w:color="auto"/>
            </w:tcBorders>
            <w:shd w:val="clear" w:color="auto" w:fill="auto"/>
            <w:vAlign w:val="center"/>
          </w:tcPr>
          <w:p w14:paraId="51D8847C"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30</w:t>
            </w:r>
          </w:p>
        </w:tc>
        <w:tc>
          <w:tcPr>
            <w:tcW w:w="1232" w:type="dxa"/>
            <w:tcBorders>
              <w:bottom w:val="single" w:sz="2" w:space="0" w:color="auto"/>
            </w:tcBorders>
            <w:shd w:val="clear" w:color="auto" w:fill="auto"/>
            <w:vAlign w:val="center"/>
          </w:tcPr>
          <w:p w14:paraId="7A5F5AF1"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22</w:t>
            </w:r>
          </w:p>
        </w:tc>
        <w:tc>
          <w:tcPr>
            <w:tcW w:w="1231" w:type="dxa"/>
            <w:tcBorders>
              <w:bottom w:val="single" w:sz="2" w:space="0" w:color="auto"/>
            </w:tcBorders>
            <w:shd w:val="clear" w:color="auto" w:fill="auto"/>
            <w:vAlign w:val="center"/>
          </w:tcPr>
          <w:p w14:paraId="3730BDD9"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38</w:t>
            </w:r>
          </w:p>
        </w:tc>
        <w:tc>
          <w:tcPr>
            <w:tcW w:w="1232" w:type="dxa"/>
            <w:tcBorders>
              <w:bottom w:val="single" w:sz="2" w:space="0" w:color="auto"/>
            </w:tcBorders>
            <w:shd w:val="clear" w:color="auto" w:fill="auto"/>
            <w:vAlign w:val="center"/>
          </w:tcPr>
          <w:p w14:paraId="63EFEFB1" w14:textId="77777777" w:rsidR="00611E49" w:rsidRPr="009C2DD1" w:rsidRDefault="00611E49" w:rsidP="00155BBC">
            <w:pPr>
              <w:jc w:val="right"/>
              <w:rPr>
                <w:rFonts w:ascii="Arial Narrow" w:hAnsi="Arial Narrow" w:cs="Calibri"/>
                <w:color w:val="000000" w:themeColor="text1"/>
                <w:sz w:val="20"/>
                <w:szCs w:val="20"/>
              </w:rPr>
            </w:pPr>
            <w:r>
              <w:rPr>
                <w:rFonts w:ascii="Arial Narrow" w:hAnsi="Arial Narrow" w:cs="Calibri"/>
                <w:color w:val="000000" w:themeColor="text1"/>
                <w:sz w:val="20"/>
                <w:szCs w:val="20"/>
              </w:rPr>
              <w:t>22</w:t>
            </w:r>
          </w:p>
        </w:tc>
      </w:tr>
      <w:tr w:rsidR="00611E49" w:rsidRPr="009C2DD1" w14:paraId="35B24C13" w14:textId="77777777" w:rsidTr="00247DB6">
        <w:trPr>
          <w:trHeight w:val="198"/>
        </w:trPr>
        <w:tc>
          <w:tcPr>
            <w:tcW w:w="2632" w:type="dxa"/>
            <w:tcBorders>
              <w:top w:val="single" w:sz="2" w:space="0" w:color="auto"/>
              <w:bottom w:val="nil"/>
            </w:tcBorders>
            <w:shd w:val="clear" w:color="auto" w:fill="auto"/>
            <w:vAlign w:val="center"/>
          </w:tcPr>
          <w:p w14:paraId="404431E9" w14:textId="77777777" w:rsidR="00611E49" w:rsidRPr="009C2DD1" w:rsidRDefault="00611E49" w:rsidP="00155BBC">
            <w:pPr>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Suspensión:</w:t>
            </w:r>
          </w:p>
        </w:tc>
        <w:tc>
          <w:tcPr>
            <w:tcW w:w="1231" w:type="dxa"/>
            <w:tcBorders>
              <w:top w:val="single" w:sz="2" w:space="0" w:color="auto"/>
              <w:bottom w:val="nil"/>
            </w:tcBorders>
            <w:shd w:val="clear" w:color="auto" w:fill="auto"/>
            <w:vAlign w:val="center"/>
          </w:tcPr>
          <w:p w14:paraId="133B8114"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 </w:t>
            </w:r>
          </w:p>
        </w:tc>
        <w:tc>
          <w:tcPr>
            <w:tcW w:w="1231" w:type="dxa"/>
            <w:tcBorders>
              <w:top w:val="single" w:sz="2" w:space="0" w:color="auto"/>
              <w:bottom w:val="nil"/>
            </w:tcBorders>
            <w:shd w:val="clear" w:color="auto" w:fill="auto"/>
            <w:vAlign w:val="center"/>
          </w:tcPr>
          <w:p w14:paraId="6CD3900A"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 </w:t>
            </w:r>
          </w:p>
        </w:tc>
        <w:tc>
          <w:tcPr>
            <w:tcW w:w="1232" w:type="dxa"/>
            <w:tcBorders>
              <w:top w:val="single" w:sz="2" w:space="0" w:color="auto"/>
              <w:bottom w:val="nil"/>
            </w:tcBorders>
            <w:shd w:val="clear" w:color="auto" w:fill="auto"/>
            <w:vAlign w:val="center"/>
          </w:tcPr>
          <w:p w14:paraId="0B49BD2E"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70</w:t>
            </w:r>
          </w:p>
        </w:tc>
        <w:tc>
          <w:tcPr>
            <w:tcW w:w="1231" w:type="dxa"/>
            <w:tcBorders>
              <w:top w:val="single" w:sz="2" w:space="0" w:color="auto"/>
              <w:bottom w:val="nil"/>
            </w:tcBorders>
            <w:shd w:val="clear" w:color="auto" w:fill="auto"/>
            <w:vAlign w:val="center"/>
          </w:tcPr>
          <w:p w14:paraId="26EB56C5"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62</w:t>
            </w:r>
          </w:p>
        </w:tc>
        <w:tc>
          <w:tcPr>
            <w:tcW w:w="1232" w:type="dxa"/>
            <w:tcBorders>
              <w:top w:val="single" w:sz="2" w:space="0" w:color="auto"/>
              <w:bottom w:val="nil"/>
            </w:tcBorders>
            <w:shd w:val="clear" w:color="auto" w:fill="auto"/>
            <w:vAlign w:val="center"/>
          </w:tcPr>
          <w:p w14:paraId="2D6C7ADD"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11</w:t>
            </w:r>
          </w:p>
        </w:tc>
      </w:tr>
      <w:tr w:rsidR="00611E49" w:rsidRPr="00297CB2" w14:paraId="1607B209" w14:textId="77777777" w:rsidTr="00247DB6">
        <w:trPr>
          <w:trHeight w:val="198"/>
        </w:trPr>
        <w:tc>
          <w:tcPr>
            <w:tcW w:w="2632" w:type="dxa"/>
            <w:tcBorders>
              <w:top w:val="nil"/>
              <w:bottom w:val="nil"/>
            </w:tcBorders>
            <w:shd w:val="clear" w:color="auto" w:fill="auto"/>
            <w:vAlign w:val="center"/>
          </w:tcPr>
          <w:p w14:paraId="141D3BF0" w14:textId="15942F1C" w:rsidR="00611E49" w:rsidRPr="00297CB2" w:rsidRDefault="00611E49" w:rsidP="00247DB6">
            <w:pPr>
              <w:ind w:firstLine="321"/>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Reestablecer</w:t>
            </w:r>
          </w:p>
        </w:tc>
        <w:tc>
          <w:tcPr>
            <w:tcW w:w="1231" w:type="dxa"/>
            <w:tcBorders>
              <w:top w:val="nil"/>
              <w:bottom w:val="nil"/>
            </w:tcBorders>
            <w:shd w:val="clear" w:color="auto" w:fill="auto"/>
            <w:vAlign w:val="center"/>
          </w:tcPr>
          <w:p w14:paraId="40912128"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 </w:t>
            </w:r>
          </w:p>
        </w:tc>
        <w:tc>
          <w:tcPr>
            <w:tcW w:w="1231" w:type="dxa"/>
            <w:tcBorders>
              <w:top w:val="nil"/>
              <w:bottom w:val="nil"/>
            </w:tcBorders>
            <w:shd w:val="clear" w:color="auto" w:fill="auto"/>
            <w:vAlign w:val="center"/>
          </w:tcPr>
          <w:p w14:paraId="1AB1D380"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 </w:t>
            </w:r>
          </w:p>
        </w:tc>
        <w:tc>
          <w:tcPr>
            <w:tcW w:w="1232" w:type="dxa"/>
            <w:tcBorders>
              <w:top w:val="nil"/>
              <w:bottom w:val="nil"/>
            </w:tcBorders>
            <w:shd w:val="clear" w:color="auto" w:fill="auto"/>
            <w:vAlign w:val="center"/>
          </w:tcPr>
          <w:p w14:paraId="330B926B"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10</w:t>
            </w:r>
          </w:p>
        </w:tc>
        <w:tc>
          <w:tcPr>
            <w:tcW w:w="1231" w:type="dxa"/>
            <w:tcBorders>
              <w:top w:val="nil"/>
              <w:bottom w:val="nil"/>
            </w:tcBorders>
            <w:shd w:val="clear" w:color="auto" w:fill="auto"/>
            <w:vAlign w:val="center"/>
          </w:tcPr>
          <w:p w14:paraId="5DFCE032"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2</w:t>
            </w:r>
          </w:p>
        </w:tc>
        <w:tc>
          <w:tcPr>
            <w:tcW w:w="1232" w:type="dxa"/>
            <w:tcBorders>
              <w:top w:val="nil"/>
              <w:bottom w:val="nil"/>
            </w:tcBorders>
            <w:shd w:val="clear" w:color="auto" w:fill="auto"/>
            <w:vAlign w:val="center"/>
          </w:tcPr>
          <w:p w14:paraId="4931C963"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1</w:t>
            </w:r>
          </w:p>
        </w:tc>
      </w:tr>
      <w:tr w:rsidR="00611E49" w:rsidRPr="00297CB2" w14:paraId="71A669EE" w14:textId="77777777" w:rsidTr="00247DB6">
        <w:trPr>
          <w:trHeight w:val="198"/>
        </w:trPr>
        <w:tc>
          <w:tcPr>
            <w:tcW w:w="2632" w:type="dxa"/>
            <w:tcBorders>
              <w:top w:val="nil"/>
              <w:bottom w:val="nil"/>
            </w:tcBorders>
            <w:shd w:val="clear" w:color="auto" w:fill="auto"/>
            <w:vAlign w:val="center"/>
          </w:tcPr>
          <w:p w14:paraId="4045B94B" w14:textId="45B66191" w:rsidR="00611E49" w:rsidRPr="00297CB2" w:rsidRDefault="00611E49" w:rsidP="00247DB6">
            <w:pPr>
              <w:ind w:firstLine="321"/>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Baja</w:t>
            </w:r>
          </w:p>
        </w:tc>
        <w:tc>
          <w:tcPr>
            <w:tcW w:w="1231" w:type="dxa"/>
            <w:tcBorders>
              <w:top w:val="nil"/>
              <w:bottom w:val="nil"/>
            </w:tcBorders>
            <w:shd w:val="clear" w:color="auto" w:fill="auto"/>
            <w:vAlign w:val="center"/>
          </w:tcPr>
          <w:p w14:paraId="4DE24AA9"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 </w:t>
            </w:r>
          </w:p>
        </w:tc>
        <w:tc>
          <w:tcPr>
            <w:tcW w:w="1231" w:type="dxa"/>
            <w:tcBorders>
              <w:top w:val="nil"/>
              <w:bottom w:val="nil"/>
            </w:tcBorders>
            <w:shd w:val="clear" w:color="auto" w:fill="auto"/>
            <w:vAlign w:val="center"/>
          </w:tcPr>
          <w:p w14:paraId="7D571C1E"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 </w:t>
            </w:r>
          </w:p>
        </w:tc>
        <w:tc>
          <w:tcPr>
            <w:tcW w:w="1232" w:type="dxa"/>
            <w:tcBorders>
              <w:top w:val="nil"/>
              <w:bottom w:val="nil"/>
            </w:tcBorders>
            <w:shd w:val="clear" w:color="auto" w:fill="auto"/>
            <w:vAlign w:val="center"/>
          </w:tcPr>
          <w:p w14:paraId="11DEAC3A"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21</w:t>
            </w:r>
          </w:p>
        </w:tc>
        <w:tc>
          <w:tcPr>
            <w:tcW w:w="1231" w:type="dxa"/>
            <w:tcBorders>
              <w:top w:val="nil"/>
              <w:bottom w:val="nil"/>
            </w:tcBorders>
            <w:shd w:val="clear" w:color="auto" w:fill="auto"/>
            <w:vAlign w:val="center"/>
          </w:tcPr>
          <w:p w14:paraId="2681F454"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7</w:t>
            </w:r>
          </w:p>
        </w:tc>
        <w:tc>
          <w:tcPr>
            <w:tcW w:w="1232" w:type="dxa"/>
            <w:tcBorders>
              <w:top w:val="nil"/>
              <w:bottom w:val="nil"/>
            </w:tcBorders>
            <w:shd w:val="clear" w:color="auto" w:fill="auto"/>
            <w:vAlign w:val="center"/>
          </w:tcPr>
          <w:p w14:paraId="62870A63"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1</w:t>
            </w:r>
          </w:p>
        </w:tc>
      </w:tr>
      <w:tr w:rsidR="00611E49" w:rsidRPr="00297CB2" w14:paraId="4E8AF68B" w14:textId="77777777" w:rsidTr="00247DB6">
        <w:trPr>
          <w:trHeight w:val="198"/>
        </w:trPr>
        <w:tc>
          <w:tcPr>
            <w:tcW w:w="2632" w:type="dxa"/>
            <w:tcBorders>
              <w:top w:val="nil"/>
              <w:bottom w:val="single" w:sz="2" w:space="0" w:color="auto"/>
            </w:tcBorders>
            <w:shd w:val="clear" w:color="auto" w:fill="auto"/>
            <w:vAlign w:val="center"/>
          </w:tcPr>
          <w:p w14:paraId="183AB3DE" w14:textId="1D551F83" w:rsidR="00611E49" w:rsidRPr="00297CB2" w:rsidRDefault="00611E49" w:rsidP="00247DB6">
            <w:pPr>
              <w:ind w:firstLine="321"/>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Baja y sanción</w:t>
            </w:r>
          </w:p>
        </w:tc>
        <w:tc>
          <w:tcPr>
            <w:tcW w:w="1231" w:type="dxa"/>
            <w:tcBorders>
              <w:top w:val="nil"/>
              <w:bottom w:val="single" w:sz="2" w:space="0" w:color="auto"/>
            </w:tcBorders>
            <w:shd w:val="clear" w:color="auto" w:fill="auto"/>
            <w:vAlign w:val="center"/>
          </w:tcPr>
          <w:p w14:paraId="1F130E69"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 </w:t>
            </w:r>
          </w:p>
        </w:tc>
        <w:tc>
          <w:tcPr>
            <w:tcW w:w="1231" w:type="dxa"/>
            <w:tcBorders>
              <w:top w:val="nil"/>
              <w:bottom w:val="single" w:sz="2" w:space="0" w:color="auto"/>
            </w:tcBorders>
            <w:shd w:val="clear" w:color="auto" w:fill="auto"/>
            <w:vAlign w:val="center"/>
          </w:tcPr>
          <w:p w14:paraId="391CA5EA"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 </w:t>
            </w:r>
          </w:p>
        </w:tc>
        <w:tc>
          <w:tcPr>
            <w:tcW w:w="1232" w:type="dxa"/>
            <w:tcBorders>
              <w:top w:val="nil"/>
              <w:bottom w:val="single" w:sz="2" w:space="0" w:color="auto"/>
            </w:tcBorders>
            <w:shd w:val="clear" w:color="auto" w:fill="auto"/>
            <w:vAlign w:val="center"/>
          </w:tcPr>
          <w:p w14:paraId="1B15DEB2"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39</w:t>
            </w:r>
          </w:p>
        </w:tc>
        <w:tc>
          <w:tcPr>
            <w:tcW w:w="1231" w:type="dxa"/>
            <w:tcBorders>
              <w:top w:val="nil"/>
              <w:bottom w:val="single" w:sz="2" w:space="0" w:color="auto"/>
            </w:tcBorders>
            <w:shd w:val="clear" w:color="auto" w:fill="auto"/>
            <w:vAlign w:val="center"/>
          </w:tcPr>
          <w:p w14:paraId="310D2097"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53</w:t>
            </w:r>
          </w:p>
        </w:tc>
        <w:tc>
          <w:tcPr>
            <w:tcW w:w="1232" w:type="dxa"/>
            <w:tcBorders>
              <w:top w:val="nil"/>
              <w:bottom w:val="single" w:sz="2" w:space="0" w:color="auto"/>
            </w:tcBorders>
            <w:shd w:val="clear" w:color="auto" w:fill="auto"/>
            <w:vAlign w:val="center"/>
          </w:tcPr>
          <w:p w14:paraId="5FA81719" w14:textId="77777777" w:rsidR="00611E49" w:rsidRPr="00297CB2" w:rsidRDefault="00611E49" w:rsidP="00155BBC">
            <w:pPr>
              <w:jc w:val="right"/>
              <w:rPr>
                <w:rFonts w:ascii="Arial Narrow" w:hAnsi="Arial Narrow" w:cs="Calibri"/>
                <w:i/>
                <w:iCs/>
                <w:color w:val="000000" w:themeColor="text1"/>
                <w:sz w:val="18"/>
                <w:szCs w:val="18"/>
              </w:rPr>
            </w:pPr>
            <w:r w:rsidRPr="00297CB2">
              <w:rPr>
                <w:rFonts w:ascii="Arial Narrow" w:hAnsi="Arial Narrow" w:cs="Calibri"/>
                <w:i/>
                <w:iCs/>
                <w:color w:val="000000" w:themeColor="text1"/>
                <w:sz w:val="18"/>
                <w:szCs w:val="18"/>
              </w:rPr>
              <w:t>9</w:t>
            </w:r>
          </w:p>
        </w:tc>
      </w:tr>
      <w:tr w:rsidR="00611E49" w:rsidRPr="009C2DD1" w14:paraId="0E4D7BDC" w14:textId="77777777" w:rsidTr="00247DB6">
        <w:trPr>
          <w:trHeight w:val="198"/>
        </w:trPr>
        <w:tc>
          <w:tcPr>
            <w:tcW w:w="2632" w:type="dxa"/>
            <w:tcBorders>
              <w:top w:val="single" w:sz="2" w:space="0" w:color="auto"/>
              <w:bottom w:val="single" w:sz="2" w:space="0" w:color="auto"/>
            </w:tcBorders>
            <w:shd w:val="clear" w:color="auto" w:fill="auto"/>
            <w:vAlign w:val="center"/>
          </w:tcPr>
          <w:p w14:paraId="442111E1" w14:textId="77777777" w:rsidR="00611E49" w:rsidRPr="009C2DD1" w:rsidRDefault="00611E49" w:rsidP="00155BBC">
            <w:pPr>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Baja</w:t>
            </w:r>
          </w:p>
        </w:tc>
        <w:tc>
          <w:tcPr>
            <w:tcW w:w="1231" w:type="dxa"/>
            <w:tcBorders>
              <w:top w:val="single" w:sz="2" w:space="0" w:color="auto"/>
              <w:bottom w:val="single" w:sz="2" w:space="0" w:color="auto"/>
            </w:tcBorders>
            <w:shd w:val="clear" w:color="auto" w:fill="auto"/>
            <w:vAlign w:val="center"/>
          </w:tcPr>
          <w:p w14:paraId="43B7C758"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87</w:t>
            </w:r>
          </w:p>
        </w:tc>
        <w:tc>
          <w:tcPr>
            <w:tcW w:w="1231" w:type="dxa"/>
            <w:tcBorders>
              <w:top w:val="single" w:sz="2" w:space="0" w:color="auto"/>
              <w:bottom w:val="single" w:sz="2" w:space="0" w:color="auto"/>
            </w:tcBorders>
            <w:shd w:val="clear" w:color="auto" w:fill="auto"/>
            <w:vAlign w:val="center"/>
          </w:tcPr>
          <w:p w14:paraId="7C67564E"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43</w:t>
            </w:r>
          </w:p>
        </w:tc>
        <w:tc>
          <w:tcPr>
            <w:tcW w:w="1232" w:type="dxa"/>
            <w:tcBorders>
              <w:top w:val="single" w:sz="2" w:space="0" w:color="auto"/>
              <w:bottom w:val="single" w:sz="2" w:space="0" w:color="auto"/>
            </w:tcBorders>
            <w:shd w:val="clear" w:color="auto" w:fill="auto"/>
            <w:vAlign w:val="center"/>
          </w:tcPr>
          <w:p w14:paraId="2366D849" w14:textId="77777777" w:rsidR="00611E49" w:rsidRPr="009C2DD1" w:rsidRDefault="00611E49" w:rsidP="00155BBC">
            <w:pPr>
              <w:jc w:val="right"/>
              <w:rPr>
                <w:rFonts w:ascii="Arial Narrow" w:hAnsi="Arial Narrow" w:cs="Calibri"/>
                <w:color w:val="000000" w:themeColor="text1"/>
                <w:sz w:val="20"/>
                <w:szCs w:val="20"/>
              </w:rPr>
            </w:pPr>
            <w:r>
              <w:rPr>
                <w:rFonts w:ascii="Arial Narrow" w:hAnsi="Arial Narrow" w:cs="Calibri"/>
                <w:color w:val="000000" w:themeColor="text1"/>
                <w:sz w:val="20"/>
                <w:szCs w:val="20"/>
              </w:rPr>
              <w:t>10</w:t>
            </w:r>
          </w:p>
        </w:tc>
        <w:tc>
          <w:tcPr>
            <w:tcW w:w="1231" w:type="dxa"/>
            <w:tcBorders>
              <w:top w:val="single" w:sz="2" w:space="0" w:color="auto"/>
              <w:bottom w:val="single" w:sz="2" w:space="0" w:color="auto"/>
            </w:tcBorders>
            <w:shd w:val="clear" w:color="auto" w:fill="auto"/>
            <w:vAlign w:val="center"/>
          </w:tcPr>
          <w:p w14:paraId="3B843C5D" w14:textId="77777777" w:rsidR="00611E49" w:rsidRPr="009C2DD1" w:rsidRDefault="00611E49" w:rsidP="00155BBC">
            <w:pPr>
              <w:jc w:val="right"/>
              <w:rPr>
                <w:rFonts w:ascii="Arial Narrow" w:hAnsi="Arial Narrow" w:cs="Calibri"/>
                <w:color w:val="000000" w:themeColor="text1"/>
                <w:sz w:val="20"/>
                <w:szCs w:val="20"/>
              </w:rPr>
            </w:pPr>
            <w:r>
              <w:rPr>
                <w:rFonts w:ascii="Arial Narrow" w:hAnsi="Arial Narrow" w:cs="Calibri"/>
                <w:color w:val="000000" w:themeColor="text1"/>
                <w:sz w:val="20"/>
                <w:szCs w:val="20"/>
              </w:rPr>
              <w:t>11</w:t>
            </w:r>
          </w:p>
        </w:tc>
        <w:tc>
          <w:tcPr>
            <w:tcW w:w="1232" w:type="dxa"/>
            <w:tcBorders>
              <w:top w:val="single" w:sz="2" w:space="0" w:color="auto"/>
              <w:bottom w:val="single" w:sz="2" w:space="0" w:color="auto"/>
            </w:tcBorders>
            <w:shd w:val="clear" w:color="auto" w:fill="auto"/>
            <w:vAlign w:val="center"/>
          </w:tcPr>
          <w:p w14:paraId="5B0C9F70" w14:textId="77777777" w:rsidR="00611E49" w:rsidRPr="009C2DD1" w:rsidRDefault="00611E49" w:rsidP="00155BBC">
            <w:pPr>
              <w:jc w:val="right"/>
              <w:rPr>
                <w:rFonts w:ascii="Arial Narrow" w:hAnsi="Arial Narrow" w:cs="Calibri"/>
                <w:color w:val="000000" w:themeColor="text1"/>
                <w:sz w:val="20"/>
                <w:szCs w:val="20"/>
              </w:rPr>
            </w:pPr>
            <w:r>
              <w:rPr>
                <w:rFonts w:ascii="Arial Narrow" w:hAnsi="Arial Narrow" w:cs="Calibri"/>
                <w:color w:val="000000" w:themeColor="text1"/>
                <w:sz w:val="20"/>
                <w:szCs w:val="20"/>
              </w:rPr>
              <w:t>5</w:t>
            </w:r>
          </w:p>
        </w:tc>
      </w:tr>
      <w:tr w:rsidR="00611E49" w:rsidRPr="009C2DD1" w14:paraId="203C7FDD" w14:textId="77777777" w:rsidTr="00247DB6">
        <w:trPr>
          <w:trHeight w:val="198"/>
        </w:trPr>
        <w:tc>
          <w:tcPr>
            <w:tcW w:w="2632" w:type="dxa"/>
            <w:tcBorders>
              <w:top w:val="single" w:sz="2" w:space="0" w:color="auto"/>
              <w:bottom w:val="single" w:sz="2" w:space="0" w:color="auto"/>
            </w:tcBorders>
            <w:shd w:val="clear" w:color="auto" w:fill="auto"/>
            <w:vAlign w:val="center"/>
          </w:tcPr>
          <w:p w14:paraId="4D95572D" w14:textId="77777777" w:rsidR="00611E49" w:rsidRPr="009C2DD1" w:rsidRDefault="00611E49" w:rsidP="00155BBC">
            <w:pPr>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Baja y sanción</w:t>
            </w:r>
          </w:p>
        </w:tc>
        <w:tc>
          <w:tcPr>
            <w:tcW w:w="1231" w:type="dxa"/>
            <w:tcBorders>
              <w:top w:val="single" w:sz="2" w:space="0" w:color="auto"/>
              <w:bottom w:val="single" w:sz="2" w:space="0" w:color="auto"/>
            </w:tcBorders>
            <w:shd w:val="clear" w:color="auto" w:fill="auto"/>
            <w:vAlign w:val="center"/>
          </w:tcPr>
          <w:p w14:paraId="753E3249"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96</w:t>
            </w:r>
          </w:p>
        </w:tc>
        <w:tc>
          <w:tcPr>
            <w:tcW w:w="1231" w:type="dxa"/>
            <w:tcBorders>
              <w:top w:val="single" w:sz="2" w:space="0" w:color="auto"/>
              <w:bottom w:val="single" w:sz="2" w:space="0" w:color="auto"/>
            </w:tcBorders>
            <w:shd w:val="clear" w:color="auto" w:fill="auto"/>
            <w:vAlign w:val="center"/>
          </w:tcPr>
          <w:p w14:paraId="6E1C0BA9"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46</w:t>
            </w:r>
          </w:p>
        </w:tc>
        <w:tc>
          <w:tcPr>
            <w:tcW w:w="1232" w:type="dxa"/>
            <w:tcBorders>
              <w:top w:val="single" w:sz="2" w:space="0" w:color="auto"/>
              <w:bottom w:val="single" w:sz="2" w:space="0" w:color="auto"/>
            </w:tcBorders>
            <w:shd w:val="clear" w:color="auto" w:fill="auto"/>
            <w:vAlign w:val="center"/>
          </w:tcPr>
          <w:p w14:paraId="44F83706"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40</w:t>
            </w:r>
          </w:p>
        </w:tc>
        <w:tc>
          <w:tcPr>
            <w:tcW w:w="1231" w:type="dxa"/>
            <w:tcBorders>
              <w:top w:val="single" w:sz="2" w:space="0" w:color="auto"/>
              <w:bottom w:val="single" w:sz="2" w:space="0" w:color="auto"/>
            </w:tcBorders>
            <w:shd w:val="clear" w:color="auto" w:fill="auto"/>
            <w:vAlign w:val="center"/>
          </w:tcPr>
          <w:p w14:paraId="0163B8ED"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53</w:t>
            </w:r>
          </w:p>
        </w:tc>
        <w:tc>
          <w:tcPr>
            <w:tcW w:w="1232" w:type="dxa"/>
            <w:tcBorders>
              <w:top w:val="single" w:sz="2" w:space="0" w:color="auto"/>
              <w:bottom w:val="single" w:sz="2" w:space="0" w:color="auto"/>
            </w:tcBorders>
            <w:shd w:val="clear" w:color="auto" w:fill="auto"/>
            <w:vAlign w:val="center"/>
          </w:tcPr>
          <w:p w14:paraId="69BA041B" w14:textId="77777777" w:rsidR="00611E49" w:rsidRPr="009C2DD1" w:rsidRDefault="00611E49" w:rsidP="00155BBC">
            <w:pPr>
              <w:jc w:val="right"/>
              <w:rPr>
                <w:rFonts w:ascii="Arial Narrow" w:hAnsi="Arial Narrow" w:cs="Calibri"/>
                <w:color w:val="000000" w:themeColor="text1"/>
                <w:sz w:val="20"/>
                <w:szCs w:val="20"/>
              </w:rPr>
            </w:pPr>
            <w:r>
              <w:rPr>
                <w:rFonts w:ascii="Arial Narrow" w:hAnsi="Arial Narrow" w:cs="Calibri"/>
                <w:color w:val="000000" w:themeColor="text1"/>
                <w:sz w:val="20"/>
                <w:szCs w:val="20"/>
              </w:rPr>
              <w:t>25</w:t>
            </w:r>
          </w:p>
        </w:tc>
      </w:tr>
      <w:tr w:rsidR="00611E49" w:rsidRPr="009C2DD1" w14:paraId="2031F850" w14:textId="77777777" w:rsidTr="00247DB6">
        <w:trPr>
          <w:trHeight w:val="198"/>
        </w:trPr>
        <w:tc>
          <w:tcPr>
            <w:tcW w:w="2632" w:type="dxa"/>
            <w:tcBorders>
              <w:top w:val="single" w:sz="2" w:space="0" w:color="auto"/>
              <w:bottom w:val="single" w:sz="2" w:space="0" w:color="auto"/>
            </w:tcBorders>
            <w:shd w:val="clear" w:color="auto" w:fill="auto"/>
            <w:vAlign w:val="center"/>
          </w:tcPr>
          <w:p w14:paraId="4C02107C" w14:textId="77777777" w:rsidR="00611E49" w:rsidRPr="009C2DD1" w:rsidRDefault="00611E49" w:rsidP="00155BBC">
            <w:pPr>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Baja, sanción y denegar nueva</w:t>
            </w:r>
          </w:p>
        </w:tc>
        <w:tc>
          <w:tcPr>
            <w:tcW w:w="1231" w:type="dxa"/>
            <w:tcBorders>
              <w:top w:val="single" w:sz="2" w:space="0" w:color="auto"/>
              <w:bottom w:val="single" w:sz="2" w:space="0" w:color="auto"/>
            </w:tcBorders>
            <w:shd w:val="clear" w:color="auto" w:fill="auto"/>
            <w:vAlign w:val="center"/>
          </w:tcPr>
          <w:p w14:paraId="063F3EAA"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 </w:t>
            </w:r>
          </w:p>
        </w:tc>
        <w:tc>
          <w:tcPr>
            <w:tcW w:w="1231" w:type="dxa"/>
            <w:tcBorders>
              <w:top w:val="single" w:sz="2" w:space="0" w:color="auto"/>
              <w:bottom w:val="single" w:sz="2" w:space="0" w:color="auto"/>
            </w:tcBorders>
            <w:shd w:val="clear" w:color="auto" w:fill="auto"/>
            <w:vAlign w:val="center"/>
          </w:tcPr>
          <w:p w14:paraId="4353BC86"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2</w:t>
            </w:r>
          </w:p>
        </w:tc>
        <w:tc>
          <w:tcPr>
            <w:tcW w:w="1232" w:type="dxa"/>
            <w:tcBorders>
              <w:top w:val="single" w:sz="2" w:space="0" w:color="auto"/>
              <w:bottom w:val="single" w:sz="2" w:space="0" w:color="auto"/>
            </w:tcBorders>
            <w:shd w:val="clear" w:color="auto" w:fill="auto"/>
            <w:vAlign w:val="center"/>
          </w:tcPr>
          <w:p w14:paraId="7E74466E"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 </w:t>
            </w:r>
          </w:p>
        </w:tc>
        <w:tc>
          <w:tcPr>
            <w:tcW w:w="1231" w:type="dxa"/>
            <w:tcBorders>
              <w:top w:val="single" w:sz="2" w:space="0" w:color="auto"/>
              <w:bottom w:val="single" w:sz="2" w:space="0" w:color="auto"/>
            </w:tcBorders>
            <w:shd w:val="clear" w:color="auto" w:fill="auto"/>
            <w:vAlign w:val="center"/>
          </w:tcPr>
          <w:p w14:paraId="4DBEDD6D"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2</w:t>
            </w:r>
          </w:p>
        </w:tc>
        <w:tc>
          <w:tcPr>
            <w:tcW w:w="1232" w:type="dxa"/>
            <w:tcBorders>
              <w:top w:val="single" w:sz="2" w:space="0" w:color="auto"/>
              <w:bottom w:val="single" w:sz="2" w:space="0" w:color="auto"/>
            </w:tcBorders>
            <w:shd w:val="clear" w:color="auto" w:fill="auto"/>
            <w:vAlign w:val="center"/>
          </w:tcPr>
          <w:p w14:paraId="2E4174FE" w14:textId="77777777" w:rsidR="00611E49" w:rsidRPr="009C2DD1" w:rsidRDefault="00611E49" w:rsidP="00155BBC">
            <w:pPr>
              <w:jc w:val="right"/>
              <w:rPr>
                <w:rFonts w:ascii="Arial Narrow" w:hAnsi="Arial Narrow" w:cs="Calibri"/>
                <w:color w:val="000000" w:themeColor="text1"/>
                <w:sz w:val="20"/>
                <w:szCs w:val="20"/>
              </w:rPr>
            </w:pPr>
            <w:r w:rsidRPr="5D8B6717">
              <w:rPr>
                <w:rFonts w:ascii="Arial Narrow" w:hAnsi="Arial Narrow" w:cs="Calibri"/>
                <w:color w:val="000000" w:themeColor="text1"/>
                <w:sz w:val="20"/>
                <w:szCs w:val="20"/>
              </w:rPr>
              <w:t>8</w:t>
            </w:r>
          </w:p>
        </w:tc>
      </w:tr>
      <w:tr w:rsidR="00611E49" w:rsidRPr="009C2DD1" w14:paraId="5114B829" w14:textId="77777777" w:rsidTr="00247DB6">
        <w:trPr>
          <w:trHeight w:val="198"/>
        </w:trPr>
        <w:tc>
          <w:tcPr>
            <w:tcW w:w="2632" w:type="dxa"/>
            <w:tcBorders>
              <w:top w:val="single" w:sz="2" w:space="0" w:color="auto"/>
              <w:bottom w:val="single" w:sz="4" w:space="0" w:color="auto"/>
            </w:tcBorders>
            <w:shd w:val="clear" w:color="auto" w:fill="auto"/>
            <w:vAlign w:val="center"/>
          </w:tcPr>
          <w:p w14:paraId="380FC5D7" w14:textId="77777777" w:rsidR="00611E49" w:rsidRPr="009C2DD1" w:rsidRDefault="00611E49" w:rsidP="00155BBC">
            <w:pPr>
              <w:rPr>
                <w:rFonts w:ascii="Arial Narrow" w:hAnsi="Arial Narrow" w:cs="Calibri"/>
                <w:color w:val="000000" w:themeColor="text1"/>
                <w:sz w:val="20"/>
                <w:szCs w:val="20"/>
              </w:rPr>
            </w:pPr>
            <w:r w:rsidRPr="3896A6D9">
              <w:rPr>
                <w:rFonts w:ascii="Arial Narrow" w:hAnsi="Arial Narrow" w:cs="Calibri"/>
                <w:color w:val="000000" w:themeColor="text1"/>
                <w:sz w:val="20"/>
                <w:szCs w:val="20"/>
              </w:rPr>
              <w:t>Otros</w:t>
            </w:r>
          </w:p>
        </w:tc>
        <w:tc>
          <w:tcPr>
            <w:tcW w:w="1231" w:type="dxa"/>
            <w:tcBorders>
              <w:top w:val="single" w:sz="2" w:space="0" w:color="auto"/>
              <w:bottom w:val="single" w:sz="4" w:space="0" w:color="auto"/>
            </w:tcBorders>
            <w:shd w:val="clear" w:color="auto" w:fill="auto"/>
            <w:vAlign w:val="center"/>
          </w:tcPr>
          <w:p w14:paraId="5025AC76"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5</w:t>
            </w:r>
          </w:p>
        </w:tc>
        <w:tc>
          <w:tcPr>
            <w:tcW w:w="1231" w:type="dxa"/>
            <w:tcBorders>
              <w:top w:val="single" w:sz="2" w:space="0" w:color="auto"/>
              <w:bottom w:val="single" w:sz="4" w:space="0" w:color="auto"/>
            </w:tcBorders>
            <w:shd w:val="clear" w:color="auto" w:fill="auto"/>
            <w:vAlign w:val="center"/>
          </w:tcPr>
          <w:p w14:paraId="5055FF29"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2</w:t>
            </w:r>
          </w:p>
        </w:tc>
        <w:tc>
          <w:tcPr>
            <w:tcW w:w="1232" w:type="dxa"/>
            <w:tcBorders>
              <w:top w:val="single" w:sz="2" w:space="0" w:color="auto"/>
              <w:bottom w:val="single" w:sz="4" w:space="0" w:color="auto"/>
            </w:tcBorders>
            <w:shd w:val="clear" w:color="auto" w:fill="auto"/>
            <w:vAlign w:val="center"/>
          </w:tcPr>
          <w:p w14:paraId="0E2AAF00"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3</w:t>
            </w:r>
          </w:p>
        </w:tc>
        <w:tc>
          <w:tcPr>
            <w:tcW w:w="1231" w:type="dxa"/>
            <w:tcBorders>
              <w:top w:val="single" w:sz="2" w:space="0" w:color="auto"/>
              <w:bottom w:val="single" w:sz="4" w:space="0" w:color="auto"/>
            </w:tcBorders>
            <w:shd w:val="clear" w:color="auto" w:fill="auto"/>
            <w:vAlign w:val="center"/>
          </w:tcPr>
          <w:p w14:paraId="16884415"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6</w:t>
            </w:r>
          </w:p>
        </w:tc>
        <w:tc>
          <w:tcPr>
            <w:tcW w:w="1232" w:type="dxa"/>
            <w:tcBorders>
              <w:top w:val="single" w:sz="2" w:space="0" w:color="auto"/>
              <w:bottom w:val="single" w:sz="4" w:space="0" w:color="auto"/>
            </w:tcBorders>
            <w:shd w:val="clear" w:color="auto" w:fill="auto"/>
            <w:vAlign w:val="center"/>
          </w:tcPr>
          <w:p w14:paraId="04A88C22" w14:textId="77777777" w:rsidR="00611E49" w:rsidRPr="009C2DD1" w:rsidRDefault="00611E49" w:rsidP="00155BBC">
            <w:pPr>
              <w:jc w:val="right"/>
              <w:rPr>
                <w:rFonts w:ascii="Arial Narrow" w:hAnsi="Arial Narrow" w:cs="Calibri"/>
                <w:color w:val="000000" w:themeColor="text1"/>
                <w:sz w:val="20"/>
                <w:szCs w:val="20"/>
              </w:rPr>
            </w:pPr>
            <w:r w:rsidRPr="009C2DD1">
              <w:rPr>
                <w:rFonts w:ascii="Arial Narrow" w:hAnsi="Arial Narrow" w:cs="Calibri"/>
                <w:color w:val="000000" w:themeColor="text1"/>
                <w:sz w:val="20"/>
                <w:szCs w:val="20"/>
              </w:rPr>
              <w:t>- </w:t>
            </w:r>
          </w:p>
        </w:tc>
      </w:tr>
      <w:tr w:rsidR="00611E49" w14:paraId="68369B77" w14:textId="77777777" w:rsidTr="00247DB6">
        <w:trPr>
          <w:trHeight w:val="255"/>
        </w:trPr>
        <w:tc>
          <w:tcPr>
            <w:tcW w:w="2632" w:type="dxa"/>
            <w:shd w:val="clear" w:color="auto" w:fill="9CC2E5" w:themeFill="accent1" w:themeFillTint="99"/>
            <w:vAlign w:val="center"/>
          </w:tcPr>
          <w:p w14:paraId="22E9E57F" w14:textId="77777777" w:rsidR="00611E49" w:rsidRDefault="00611E49" w:rsidP="00155BBC">
            <w:pPr>
              <w:rPr>
                <w:rFonts w:ascii="Arial" w:hAnsi="Arial" w:cs="Arial"/>
                <w:color w:val="000000" w:themeColor="text1"/>
                <w:sz w:val="18"/>
                <w:szCs w:val="18"/>
              </w:rPr>
            </w:pPr>
            <w:r w:rsidRPr="0CCF8A85">
              <w:rPr>
                <w:rFonts w:ascii="Arial" w:hAnsi="Arial" w:cs="Arial"/>
                <w:color w:val="000000" w:themeColor="text1"/>
                <w:sz w:val="18"/>
                <w:szCs w:val="18"/>
              </w:rPr>
              <w:t>Total</w:t>
            </w:r>
          </w:p>
        </w:tc>
        <w:tc>
          <w:tcPr>
            <w:tcW w:w="1231" w:type="dxa"/>
            <w:shd w:val="clear" w:color="auto" w:fill="9CC2E5" w:themeFill="accent1" w:themeFillTint="99"/>
            <w:vAlign w:val="center"/>
          </w:tcPr>
          <w:p w14:paraId="0216027F"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226</w:t>
            </w:r>
          </w:p>
        </w:tc>
        <w:tc>
          <w:tcPr>
            <w:tcW w:w="1231" w:type="dxa"/>
            <w:shd w:val="clear" w:color="auto" w:fill="9CC2E5" w:themeFill="accent1" w:themeFillTint="99"/>
            <w:vAlign w:val="center"/>
          </w:tcPr>
          <w:p w14:paraId="216A6EF2"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123</w:t>
            </w:r>
          </w:p>
        </w:tc>
        <w:tc>
          <w:tcPr>
            <w:tcW w:w="1232" w:type="dxa"/>
            <w:shd w:val="clear" w:color="auto" w:fill="9CC2E5" w:themeFill="accent1" w:themeFillTint="99"/>
            <w:vAlign w:val="center"/>
          </w:tcPr>
          <w:p w14:paraId="0B2F0539"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145</w:t>
            </w:r>
          </w:p>
        </w:tc>
        <w:tc>
          <w:tcPr>
            <w:tcW w:w="1231" w:type="dxa"/>
            <w:shd w:val="clear" w:color="auto" w:fill="9CC2E5" w:themeFill="accent1" w:themeFillTint="99"/>
            <w:vAlign w:val="center"/>
          </w:tcPr>
          <w:p w14:paraId="25E814E1"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172</w:t>
            </w:r>
          </w:p>
        </w:tc>
        <w:tc>
          <w:tcPr>
            <w:tcW w:w="1232" w:type="dxa"/>
            <w:shd w:val="clear" w:color="auto" w:fill="9CC2E5" w:themeFill="accent1" w:themeFillTint="99"/>
            <w:vAlign w:val="center"/>
          </w:tcPr>
          <w:p w14:paraId="5375C5EB" w14:textId="77777777" w:rsidR="00611E49" w:rsidRDefault="00611E49" w:rsidP="00155BBC">
            <w:pPr>
              <w:jc w:val="right"/>
              <w:rPr>
                <w:rFonts w:ascii="Arial" w:hAnsi="Arial" w:cs="Arial"/>
                <w:color w:val="000000" w:themeColor="text1"/>
                <w:sz w:val="18"/>
                <w:szCs w:val="18"/>
              </w:rPr>
            </w:pPr>
            <w:r>
              <w:rPr>
                <w:rFonts w:ascii="Arial" w:hAnsi="Arial" w:cs="Arial"/>
                <w:color w:val="000000" w:themeColor="text1"/>
                <w:sz w:val="18"/>
                <w:szCs w:val="18"/>
              </w:rPr>
              <w:t>71</w:t>
            </w:r>
          </w:p>
        </w:tc>
      </w:tr>
    </w:tbl>
    <w:p w14:paraId="11F70EEE" w14:textId="692F3B80" w:rsidR="00611E49" w:rsidRPr="007C02EE" w:rsidRDefault="00611E49" w:rsidP="00461770">
      <w:pPr>
        <w:pStyle w:val="texto"/>
        <w:spacing w:before="240" w:after="140"/>
        <w:jc w:val="both"/>
      </w:pPr>
      <w:r>
        <w:t xml:space="preserve">En 2023, el </w:t>
      </w:r>
      <w:r w:rsidRPr="3896A6D9">
        <w:t>número</w:t>
      </w:r>
      <w:r>
        <w:t xml:space="preserve"> de expedientes inspeccionados fue de 71, cifra significativamente inferior a la del resto de años del periodo analizado. Según nos indica la sección, </w:t>
      </w:r>
      <w:r w:rsidR="003E2F86">
        <w:t>las principales razones</w:t>
      </w:r>
      <w:r>
        <w:t xml:space="preserve"> por la</w:t>
      </w:r>
      <w:r w:rsidR="003E2F86">
        <w:t>s</w:t>
      </w:r>
      <w:r>
        <w:t xml:space="preserve"> cual</w:t>
      </w:r>
      <w:r w:rsidR="003E2F86">
        <w:t>es</w:t>
      </w:r>
      <w:r>
        <w:t xml:space="preserve"> han disminuido las inspecciones </w:t>
      </w:r>
      <w:r w:rsidR="004346B5">
        <w:t xml:space="preserve">son </w:t>
      </w:r>
      <w:r>
        <w:t>la</w:t>
      </w:r>
      <w:r w:rsidR="003E2F86">
        <w:t xml:space="preserve"> carga de trabajo de su personal y la</w:t>
      </w:r>
      <w:r>
        <w:t xml:space="preserve"> falta de personal de </w:t>
      </w:r>
      <w:r w:rsidR="00C004A1">
        <w:t>P</w:t>
      </w:r>
      <w:r>
        <w:t xml:space="preserve">olicía </w:t>
      </w:r>
      <w:r w:rsidR="00C004A1">
        <w:t>F</w:t>
      </w:r>
      <w:r>
        <w:t xml:space="preserve">oral que las lleva a cabo. </w:t>
      </w:r>
    </w:p>
    <w:p w14:paraId="4E048D1D" w14:textId="276E50CA" w:rsidR="00611E49" w:rsidRDefault="00611E49" w:rsidP="004F503F">
      <w:pPr>
        <w:pStyle w:val="texto"/>
        <w:spacing w:after="240"/>
        <w:jc w:val="both"/>
      </w:pPr>
      <w:r>
        <w:t xml:space="preserve"> El porcentaje de expedientes inspeccionados en los que se ha detectado algún incumplimiento que ha conllevado baja, baja y sanción o</w:t>
      </w:r>
      <w:r w:rsidR="6CA14115">
        <w:t xml:space="preserve"> incluso</w:t>
      </w:r>
      <w:r>
        <w:t xml:space="preserve"> la </w:t>
      </w:r>
      <w:r w:rsidR="0027110E">
        <w:t>denegación de</w:t>
      </w:r>
      <w:r>
        <w:t xml:space="preserve"> una nueva RG en cada año analizado es el siguiente: </w:t>
      </w:r>
    </w:p>
    <w:tbl>
      <w:tblPr>
        <w:tblW w:w="8789" w:type="dxa"/>
        <w:tblBorders>
          <w:top w:val="single" w:sz="4" w:space="0" w:color="auto"/>
          <w:bottom w:val="single" w:sz="4" w:space="0" w:color="auto"/>
          <w:insideH w:val="single" w:sz="4" w:space="0" w:color="auto"/>
        </w:tblBorders>
        <w:tblLook w:val="04A0" w:firstRow="1" w:lastRow="0" w:firstColumn="1" w:lastColumn="0" w:noHBand="0" w:noVBand="1"/>
      </w:tblPr>
      <w:tblGrid>
        <w:gridCol w:w="2819"/>
        <w:gridCol w:w="1194"/>
        <w:gridCol w:w="1194"/>
        <w:gridCol w:w="1194"/>
        <w:gridCol w:w="1194"/>
        <w:gridCol w:w="1194"/>
      </w:tblGrid>
      <w:tr w:rsidR="00611E49" w14:paraId="7AEE2025" w14:textId="77777777" w:rsidTr="00247DB6">
        <w:trPr>
          <w:trHeight w:val="255"/>
        </w:trPr>
        <w:tc>
          <w:tcPr>
            <w:tcW w:w="2819" w:type="dxa"/>
            <w:tcBorders>
              <w:bottom w:val="single" w:sz="4" w:space="0" w:color="auto"/>
            </w:tcBorders>
            <w:shd w:val="clear" w:color="auto" w:fill="9CC2E5" w:themeFill="accent1" w:themeFillTint="99"/>
            <w:vAlign w:val="center"/>
          </w:tcPr>
          <w:p w14:paraId="1FA66468" w14:textId="63AB0D0A" w:rsidR="00611E49" w:rsidRDefault="00611E49" w:rsidP="00155BBC">
            <w:pPr>
              <w:rPr>
                <w:rFonts w:ascii="Arial" w:hAnsi="Arial" w:cs="Arial"/>
                <w:color w:val="000000" w:themeColor="text1"/>
                <w:sz w:val="18"/>
                <w:szCs w:val="18"/>
              </w:rPr>
            </w:pPr>
          </w:p>
        </w:tc>
        <w:tc>
          <w:tcPr>
            <w:tcW w:w="1194" w:type="dxa"/>
            <w:tcBorders>
              <w:bottom w:val="single" w:sz="4" w:space="0" w:color="auto"/>
            </w:tcBorders>
            <w:shd w:val="clear" w:color="auto" w:fill="9CC2E5" w:themeFill="accent1" w:themeFillTint="99"/>
            <w:vAlign w:val="center"/>
          </w:tcPr>
          <w:p w14:paraId="4D66BF93"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2019</w:t>
            </w:r>
          </w:p>
        </w:tc>
        <w:tc>
          <w:tcPr>
            <w:tcW w:w="1194" w:type="dxa"/>
            <w:tcBorders>
              <w:bottom w:val="single" w:sz="4" w:space="0" w:color="auto"/>
            </w:tcBorders>
            <w:shd w:val="clear" w:color="auto" w:fill="9CC2E5" w:themeFill="accent1" w:themeFillTint="99"/>
            <w:vAlign w:val="center"/>
          </w:tcPr>
          <w:p w14:paraId="79D0436A"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2020</w:t>
            </w:r>
          </w:p>
        </w:tc>
        <w:tc>
          <w:tcPr>
            <w:tcW w:w="1194" w:type="dxa"/>
            <w:tcBorders>
              <w:bottom w:val="single" w:sz="4" w:space="0" w:color="auto"/>
            </w:tcBorders>
            <w:shd w:val="clear" w:color="auto" w:fill="9CC2E5" w:themeFill="accent1" w:themeFillTint="99"/>
            <w:vAlign w:val="center"/>
          </w:tcPr>
          <w:p w14:paraId="45B7319E"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2021</w:t>
            </w:r>
          </w:p>
        </w:tc>
        <w:tc>
          <w:tcPr>
            <w:tcW w:w="1194" w:type="dxa"/>
            <w:tcBorders>
              <w:bottom w:val="single" w:sz="4" w:space="0" w:color="auto"/>
            </w:tcBorders>
            <w:shd w:val="clear" w:color="auto" w:fill="9CC2E5" w:themeFill="accent1" w:themeFillTint="99"/>
            <w:vAlign w:val="center"/>
          </w:tcPr>
          <w:p w14:paraId="1FF75AD5"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2022</w:t>
            </w:r>
          </w:p>
        </w:tc>
        <w:tc>
          <w:tcPr>
            <w:tcW w:w="1194" w:type="dxa"/>
            <w:tcBorders>
              <w:bottom w:val="single" w:sz="4" w:space="0" w:color="auto"/>
            </w:tcBorders>
            <w:shd w:val="clear" w:color="auto" w:fill="9CC2E5" w:themeFill="accent1" w:themeFillTint="99"/>
            <w:vAlign w:val="center"/>
          </w:tcPr>
          <w:p w14:paraId="6F646E73" w14:textId="77777777" w:rsidR="00611E49" w:rsidRDefault="00611E49" w:rsidP="00155BBC">
            <w:pPr>
              <w:jc w:val="right"/>
              <w:rPr>
                <w:rFonts w:ascii="Arial" w:hAnsi="Arial" w:cs="Arial"/>
                <w:color w:val="000000" w:themeColor="text1"/>
                <w:sz w:val="18"/>
                <w:szCs w:val="18"/>
              </w:rPr>
            </w:pPr>
            <w:r w:rsidRPr="0CCF8A85">
              <w:rPr>
                <w:rFonts w:ascii="Arial" w:hAnsi="Arial" w:cs="Arial"/>
                <w:color w:val="000000" w:themeColor="text1"/>
                <w:sz w:val="18"/>
                <w:szCs w:val="18"/>
              </w:rPr>
              <w:t>2023</w:t>
            </w:r>
          </w:p>
        </w:tc>
      </w:tr>
      <w:tr w:rsidR="00611E49" w:rsidRPr="009C2DD1" w14:paraId="1C4EFB5C" w14:textId="77777777" w:rsidTr="00247DB6">
        <w:trPr>
          <w:trHeight w:val="198"/>
        </w:trPr>
        <w:tc>
          <w:tcPr>
            <w:tcW w:w="2819" w:type="dxa"/>
            <w:tcBorders>
              <w:bottom w:val="single" w:sz="4" w:space="0" w:color="auto"/>
            </w:tcBorders>
            <w:shd w:val="clear" w:color="auto" w:fill="auto"/>
            <w:vAlign w:val="center"/>
          </w:tcPr>
          <w:p w14:paraId="1C541AB6" w14:textId="77777777" w:rsidR="00611E49" w:rsidRPr="009C2DD1" w:rsidRDefault="00611E49" w:rsidP="00155BBC">
            <w:pPr>
              <w:rPr>
                <w:rFonts w:ascii="Arial Narrow" w:hAnsi="Arial Narrow" w:cs="Calibri"/>
                <w:color w:val="000000" w:themeColor="text1"/>
                <w:sz w:val="20"/>
                <w:szCs w:val="20"/>
              </w:rPr>
            </w:pPr>
            <w:r>
              <w:rPr>
                <w:rFonts w:ascii="Arial Narrow" w:hAnsi="Arial Narrow" w:cs="Calibri"/>
                <w:color w:val="000000" w:themeColor="text1"/>
                <w:sz w:val="20"/>
                <w:szCs w:val="20"/>
              </w:rPr>
              <w:t>Porcentaje detectado de incumplimientos en inspecciones</w:t>
            </w:r>
          </w:p>
        </w:tc>
        <w:tc>
          <w:tcPr>
            <w:tcW w:w="1194" w:type="dxa"/>
            <w:tcBorders>
              <w:bottom w:val="single" w:sz="4" w:space="0" w:color="auto"/>
            </w:tcBorders>
            <w:shd w:val="clear" w:color="auto" w:fill="auto"/>
            <w:vAlign w:val="center"/>
          </w:tcPr>
          <w:p w14:paraId="619187EA" w14:textId="77777777" w:rsidR="00611E49" w:rsidRPr="00F91751" w:rsidRDefault="00611E49" w:rsidP="00155BBC">
            <w:pPr>
              <w:jc w:val="right"/>
              <w:rPr>
                <w:rFonts w:ascii="Arial Narrow" w:hAnsi="Arial Narrow" w:cs="Calibri"/>
                <w:color w:val="000000"/>
                <w:sz w:val="20"/>
                <w:szCs w:val="20"/>
              </w:rPr>
            </w:pPr>
            <w:r w:rsidRPr="5D8B6717">
              <w:rPr>
                <w:rFonts w:ascii="Arial Narrow" w:hAnsi="Arial Narrow" w:cs="Calibri"/>
                <w:color w:val="000000" w:themeColor="text1"/>
                <w:sz w:val="20"/>
                <w:szCs w:val="20"/>
              </w:rPr>
              <w:t>81</w:t>
            </w:r>
          </w:p>
        </w:tc>
        <w:tc>
          <w:tcPr>
            <w:tcW w:w="1194" w:type="dxa"/>
            <w:tcBorders>
              <w:bottom w:val="single" w:sz="4" w:space="0" w:color="auto"/>
            </w:tcBorders>
            <w:shd w:val="clear" w:color="auto" w:fill="auto"/>
            <w:vAlign w:val="center"/>
          </w:tcPr>
          <w:p w14:paraId="27180702" w14:textId="77777777" w:rsidR="00611E49" w:rsidRPr="00F91751" w:rsidRDefault="00611E49" w:rsidP="00155BBC">
            <w:pPr>
              <w:jc w:val="right"/>
              <w:rPr>
                <w:rFonts w:ascii="Arial Narrow" w:eastAsia="Arial Narrow" w:hAnsi="Arial Narrow" w:cs="Arial Narrow"/>
                <w:sz w:val="20"/>
                <w:szCs w:val="20"/>
              </w:rPr>
            </w:pPr>
            <w:r w:rsidRPr="5D8B6717">
              <w:rPr>
                <w:rFonts w:ascii="Arial Narrow" w:hAnsi="Arial Narrow" w:cs="Calibri"/>
                <w:color w:val="000000" w:themeColor="text1"/>
                <w:sz w:val="20"/>
                <w:szCs w:val="20"/>
              </w:rPr>
              <w:t>74</w:t>
            </w:r>
          </w:p>
        </w:tc>
        <w:tc>
          <w:tcPr>
            <w:tcW w:w="1194" w:type="dxa"/>
            <w:tcBorders>
              <w:bottom w:val="single" w:sz="4" w:space="0" w:color="auto"/>
            </w:tcBorders>
            <w:shd w:val="clear" w:color="auto" w:fill="auto"/>
            <w:vAlign w:val="center"/>
          </w:tcPr>
          <w:p w14:paraId="5FD199E3" w14:textId="77777777" w:rsidR="00611E49" w:rsidRPr="00F91751" w:rsidRDefault="00611E49" w:rsidP="00155BBC">
            <w:pPr>
              <w:jc w:val="right"/>
              <w:rPr>
                <w:rFonts w:ascii="Arial Narrow" w:eastAsia="Arial Narrow" w:hAnsi="Arial Narrow" w:cs="Arial Narrow"/>
                <w:sz w:val="20"/>
                <w:szCs w:val="20"/>
              </w:rPr>
            </w:pPr>
            <w:r w:rsidRPr="5D8B6717">
              <w:rPr>
                <w:rFonts w:ascii="Arial Narrow" w:hAnsi="Arial Narrow" w:cs="Calibri"/>
                <w:color w:val="000000" w:themeColor="text1"/>
                <w:sz w:val="20"/>
                <w:szCs w:val="20"/>
              </w:rPr>
              <w:t>76</w:t>
            </w:r>
          </w:p>
        </w:tc>
        <w:tc>
          <w:tcPr>
            <w:tcW w:w="1194" w:type="dxa"/>
            <w:tcBorders>
              <w:bottom w:val="single" w:sz="4" w:space="0" w:color="auto"/>
            </w:tcBorders>
            <w:shd w:val="clear" w:color="auto" w:fill="auto"/>
            <w:vAlign w:val="center"/>
          </w:tcPr>
          <w:p w14:paraId="07098238" w14:textId="77777777" w:rsidR="00611E49" w:rsidRPr="00F91751" w:rsidRDefault="00611E49" w:rsidP="00155BBC">
            <w:pPr>
              <w:jc w:val="right"/>
              <w:rPr>
                <w:rFonts w:ascii="Arial Narrow" w:eastAsia="Arial Narrow" w:hAnsi="Arial Narrow" w:cs="Arial Narrow"/>
                <w:sz w:val="20"/>
                <w:szCs w:val="20"/>
              </w:rPr>
            </w:pPr>
            <w:r w:rsidRPr="5D8B6717">
              <w:rPr>
                <w:rFonts w:ascii="Arial Narrow" w:hAnsi="Arial Narrow" w:cs="Calibri"/>
                <w:color w:val="000000" w:themeColor="text1"/>
                <w:sz w:val="20"/>
                <w:szCs w:val="20"/>
              </w:rPr>
              <w:t>73</w:t>
            </w:r>
          </w:p>
        </w:tc>
        <w:tc>
          <w:tcPr>
            <w:tcW w:w="1194" w:type="dxa"/>
            <w:tcBorders>
              <w:bottom w:val="single" w:sz="4" w:space="0" w:color="auto"/>
            </w:tcBorders>
            <w:shd w:val="clear" w:color="auto" w:fill="auto"/>
            <w:vAlign w:val="center"/>
          </w:tcPr>
          <w:p w14:paraId="12D54F46" w14:textId="77777777" w:rsidR="00611E49" w:rsidRPr="00F91751" w:rsidRDefault="00611E49" w:rsidP="00155BBC">
            <w:pPr>
              <w:jc w:val="right"/>
              <w:rPr>
                <w:rFonts w:ascii="Arial Narrow" w:eastAsia="Arial Narrow" w:hAnsi="Arial Narrow" w:cs="Arial Narrow"/>
                <w:sz w:val="20"/>
                <w:szCs w:val="20"/>
              </w:rPr>
            </w:pPr>
            <w:r w:rsidRPr="5D8B6717">
              <w:rPr>
                <w:rFonts w:ascii="Arial Narrow" w:hAnsi="Arial Narrow" w:cs="Calibri"/>
                <w:color w:val="000000" w:themeColor="text1"/>
                <w:sz w:val="20"/>
                <w:szCs w:val="20"/>
              </w:rPr>
              <w:t>68</w:t>
            </w:r>
          </w:p>
        </w:tc>
      </w:tr>
    </w:tbl>
    <w:p w14:paraId="1D0DC47A" w14:textId="79DE95CB" w:rsidR="00611E49" w:rsidRDefault="00611E49" w:rsidP="004F503F">
      <w:pPr>
        <w:pStyle w:val="texto"/>
        <w:spacing w:before="240" w:after="140"/>
        <w:jc w:val="both"/>
      </w:pPr>
      <w:r>
        <w:t>La media</w:t>
      </w:r>
      <w:r w:rsidR="573F2238">
        <w:t xml:space="preserve"> de incumplimientos</w:t>
      </w:r>
      <w:r>
        <w:t xml:space="preserve"> en el periodo analizado es del 76 por ciento cifra </w:t>
      </w:r>
      <w:r w:rsidRPr="3896A6D9">
        <w:t>significativamente</w:t>
      </w:r>
      <w:r>
        <w:t xml:space="preserve"> alta</w:t>
      </w:r>
      <w:r w:rsidR="003E2F86">
        <w:t>, si bien solo se realizan inspecciones sobre los expedientes sobre los que se tiene dudas o sobre los que se han recibido denuncias</w:t>
      </w:r>
      <w:r>
        <w:t xml:space="preserve">. </w:t>
      </w:r>
    </w:p>
    <w:p w14:paraId="34373DCF" w14:textId="6C53D32D" w:rsidR="00611E49" w:rsidRPr="00E41B03" w:rsidRDefault="00611E49" w:rsidP="004F503F">
      <w:pPr>
        <w:pStyle w:val="atitulo3"/>
        <w:spacing w:before="240"/>
      </w:pPr>
      <w:r>
        <w:t>Inclusión social</w:t>
      </w:r>
    </w:p>
    <w:p w14:paraId="464AFE99" w14:textId="77777777" w:rsidR="00611E49" w:rsidRDefault="00611E49" w:rsidP="00A215EC">
      <w:pPr>
        <w:pStyle w:val="texto"/>
        <w:spacing w:after="140"/>
        <w:jc w:val="both"/>
        <w:rPr>
          <w:szCs w:val="26"/>
        </w:rPr>
      </w:pPr>
      <w:r w:rsidRPr="18FF00D8">
        <w:rPr>
          <w:szCs w:val="26"/>
        </w:rPr>
        <w:t xml:space="preserve">La inclusión social es un derecho de todas las personas residentes en Navarra que se encuentren </w:t>
      </w:r>
      <w:r w:rsidRPr="00A215EC">
        <w:rPr>
          <w:lang w:val="es-ES_tradnl"/>
        </w:rPr>
        <w:t>en</w:t>
      </w:r>
      <w:r w:rsidRPr="18FF00D8">
        <w:rPr>
          <w:szCs w:val="26"/>
        </w:rPr>
        <w:t xml:space="preserve"> situación de exclusión social. La exclusión social se define como aquella situación, consecuencia de diversos déficits o carencias personales, relacionales, laborales o socio ambientales, que persisten en el tiempo y que </w:t>
      </w:r>
      <w:r w:rsidRPr="00A215EC">
        <w:rPr>
          <w:lang w:val="es-ES_tradnl"/>
        </w:rPr>
        <w:t>impiden</w:t>
      </w:r>
      <w:r w:rsidRPr="18FF00D8">
        <w:rPr>
          <w:szCs w:val="26"/>
        </w:rPr>
        <w:t xml:space="preserve"> o limitan el ejercicio y disfrute efectivo de los derechos.</w:t>
      </w:r>
    </w:p>
    <w:p w14:paraId="4616099A" w14:textId="03E68F61" w:rsidR="00611E49" w:rsidRDefault="00611E49" w:rsidP="00A215EC">
      <w:pPr>
        <w:pStyle w:val="texto"/>
        <w:spacing w:after="140"/>
        <w:jc w:val="both"/>
        <w:rPr>
          <w:szCs w:val="26"/>
        </w:rPr>
      </w:pPr>
      <w:r>
        <w:rPr>
          <w:szCs w:val="26"/>
        </w:rPr>
        <w:t xml:space="preserve">Con la Ley Foral 15/2016, Navarra se comprometió a garantizar el derecho de las personas a ser </w:t>
      </w:r>
      <w:r w:rsidRPr="00A215EC">
        <w:rPr>
          <w:lang w:val="es-ES_tradnl"/>
        </w:rPr>
        <w:t>apoyadas</w:t>
      </w:r>
      <w:r>
        <w:rPr>
          <w:szCs w:val="26"/>
        </w:rPr>
        <w:t xml:space="preserve"> en su proceso de inclusión social según un itinerario personalizado cuyas fases son:</w:t>
      </w:r>
    </w:p>
    <w:p w14:paraId="567B2080"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rPr>
      </w:pPr>
      <w:r w:rsidRPr="0CCF8A85">
        <w:rPr>
          <w:rFonts w:eastAsia="Calibri"/>
          <w:szCs w:val="26"/>
        </w:rPr>
        <w:t>Co-diagnóstico social de la situación personal y familiar de la persona solicitante. Esta valoración determina la situación de la persona en inclusión social, riesgo de exclusión social o situación de exclusión social en grado leve, moderado o grave.</w:t>
      </w:r>
    </w:p>
    <w:p w14:paraId="4C9ABA3F"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lang w:val="es-ES_tradnl"/>
        </w:rPr>
      </w:pPr>
      <w:r>
        <w:rPr>
          <w:rFonts w:eastAsia="Calibri"/>
          <w:szCs w:val="26"/>
          <w:lang w:val="es-ES_tradnl"/>
        </w:rPr>
        <w:lastRenderedPageBreak/>
        <w:t xml:space="preserve">Propuesta de </w:t>
      </w:r>
      <w:r w:rsidRPr="00461770">
        <w:rPr>
          <w:rFonts w:eastAsia="Calibri"/>
          <w:szCs w:val="26"/>
        </w:rPr>
        <w:t>programa</w:t>
      </w:r>
      <w:r>
        <w:rPr>
          <w:rFonts w:eastAsia="Calibri"/>
          <w:szCs w:val="26"/>
          <w:lang w:val="es-ES_tradnl"/>
        </w:rPr>
        <w:t xml:space="preserve"> personalizado de inclusión social.</w:t>
      </w:r>
    </w:p>
    <w:p w14:paraId="66E7E45E"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rPr>
      </w:pPr>
      <w:r w:rsidRPr="18FF00D8">
        <w:rPr>
          <w:rFonts w:eastAsia="Calibri"/>
          <w:szCs w:val="26"/>
        </w:rPr>
        <w:t>Firma del convenio de inclusión social entre el SSB o equipo de incorporación socio-laboral y persona solicitante y otros miembros de la unidad familiar en su caso.</w:t>
      </w:r>
    </w:p>
    <w:p w14:paraId="6930D00C"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lang w:val="es-ES_tradnl"/>
        </w:rPr>
      </w:pPr>
      <w:r>
        <w:rPr>
          <w:rFonts w:eastAsia="Calibri"/>
          <w:szCs w:val="26"/>
          <w:lang w:val="es-ES_tradnl"/>
        </w:rPr>
        <w:t xml:space="preserve">Realización </w:t>
      </w:r>
      <w:r w:rsidRPr="00461770">
        <w:rPr>
          <w:rFonts w:eastAsia="Calibri"/>
          <w:szCs w:val="26"/>
        </w:rPr>
        <w:t>del</w:t>
      </w:r>
      <w:r>
        <w:rPr>
          <w:rFonts w:eastAsia="Calibri"/>
          <w:szCs w:val="26"/>
          <w:lang w:val="es-ES_tradnl"/>
        </w:rPr>
        <w:t xml:space="preserve"> programa. </w:t>
      </w:r>
    </w:p>
    <w:p w14:paraId="10AA5DC4" w14:textId="77777777" w:rsidR="00611E49" w:rsidRDefault="00611E49"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rPr>
      </w:pPr>
      <w:r w:rsidRPr="18FF00D8">
        <w:rPr>
          <w:rFonts w:eastAsia="Calibri"/>
          <w:szCs w:val="26"/>
        </w:rPr>
        <w:t xml:space="preserve">Seguimiento, evaluación y reorientación del mismo en su caso. </w:t>
      </w:r>
    </w:p>
    <w:p w14:paraId="06BFC32A" w14:textId="788EA5EC" w:rsidR="004B5DA4" w:rsidRPr="00760490" w:rsidRDefault="002377DF" w:rsidP="004F503F">
      <w:pPr>
        <w:pStyle w:val="atitulo3"/>
        <w:spacing w:before="240"/>
      </w:pPr>
      <w:r>
        <w:t xml:space="preserve">2.1.2 </w:t>
      </w:r>
      <w:r w:rsidR="004B5DA4">
        <w:t>Ingreso mínimo vital</w:t>
      </w:r>
    </w:p>
    <w:p w14:paraId="60AC8E94" w14:textId="540A84FA" w:rsidR="004B5DA4" w:rsidRDefault="004B5DA4" w:rsidP="00A215EC">
      <w:pPr>
        <w:pStyle w:val="texto"/>
        <w:spacing w:after="140"/>
        <w:jc w:val="both"/>
      </w:pPr>
      <w:r>
        <w:t>Adicionalmente a las prestaciones existentes en las comunidades autónomas similares a la RG en Navarra, en 2020 el Real Decreto-Ley 20/2020 de 29 de mayo aprobó la creación del IMV como una prestación económica destinada a garantizar unos ingresos mínimos a quienes carecen de ellos y se encuentran en situación de vulnerabilidad económica y cuya residencia legal sea España</w:t>
      </w:r>
      <w:r w:rsidRPr="5D8B6717">
        <w:rPr>
          <w:rStyle w:val="Refdenotaalpie"/>
        </w:rPr>
        <w:footnoteReference w:id="12"/>
      </w:r>
      <w:r>
        <w:t xml:space="preserve">. </w:t>
      </w:r>
    </w:p>
    <w:p w14:paraId="6C01C965" w14:textId="78CAAC0A" w:rsidR="004B5DA4" w:rsidRDefault="00F54C1F" w:rsidP="00F54C1F">
      <w:pPr>
        <w:pStyle w:val="texto"/>
        <w:spacing w:after="140"/>
        <w:jc w:val="both"/>
      </w:pPr>
      <w:r>
        <w:t>El Instituto Nacional de la Seguridad Social fue la entidad gestora de esta prestación hasta octubre de 2022</w:t>
      </w:r>
      <w:r w:rsidR="00E82F24">
        <w:t>,</w:t>
      </w:r>
      <w:r>
        <w:t xml:space="preserve"> cuando el departamento asumió su gestión. Para ello, e</w:t>
      </w:r>
      <w:r w:rsidR="004B5DA4">
        <w:t xml:space="preserve">l departamento creó la Sección de Prestaciones No Garantizadas y Otras medidas de Protección Social contratando a tres personas de perfil técnico y cuatro </w:t>
      </w:r>
      <w:r w:rsidR="00074BC5">
        <w:t>de perfil administrativo</w:t>
      </w:r>
      <w:r w:rsidR="004B5DA4">
        <w:t>.</w:t>
      </w:r>
    </w:p>
    <w:p w14:paraId="7F92B3B5" w14:textId="329C3EBE" w:rsidR="00F54C1F" w:rsidRDefault="00F54C1F" w:rsidP="00F54C1F">
      <w:pPr>
        <w:pStyle w:val="texto"/>
        <w:spacing w:after="140"/>
        <w:jc w:val="both"/>
      </w:pPr>
      <w:r>
        <w:t xml:space="preserve">Ante la imposibilidad de </w:t>
      </w:r>
      <w:r w:rsidRPr="3896A6D9">
        <w:t>tramitar</w:t>
      </w:r>
      <w:r>
        <w:t xml:space="preserve"> con personal propio esta prestación, desde septiembre de 2023 este departamento encargó a la sociedad pública Navarra de Servicios y Tecnología S.A. (NASERTIC), el cotejo de la documentación administrativa presentada por las personas solicitantes, si bien la verificación del requisito de vulnerabilidad económica la lleva a cabo siempre el personal propio del departamento. </w:t>
      </w:r>
    </w:p>
    <w:p w14:paraId="1B981FBB" w14:textId="73D24772" w:rsidR="004B5DA4" w:rsidRDefault="004B5DA4" w:rsidP="00A215EC">
      <w:pPr>
        <w:pStyle w:val="texto"/>
        <w:spacing w:after="140"/>
        <w:jc w:val="both"/>
      </w:pPr>
      <w:r>
        <w:t>Según los términos del acuerdo</w:t>
      </w:r>
      <w:r w:rsidR="0011D1EF">
        <w:t xml:space="preserve"> de traspaso de la competencia</w:t>
      </w:r>
      <w:r>
        <w:t xml:space="preserve">, con la asunción de la gestión de la prestación del IMV, a Navarra le corresponde financiación para la misma percibida a través del </w:t>
      </w:r>
      <w:r w:rsidRPr="3896A6D9">
        <w:t>Convenio</w:t>
      </w:r>
      <w:r>
        <w:t xml:space="preserve"> Económico. Se acordó que a Navarra le corresponderían en un año completo 48,35 millones, cifra resultante de aplicar el índice de imputación previsto en dicho convenio (1,6 por ciento) al coste estimado a escala estatal del programa del IMV. Atendiendo a este criterio, en 2022 Navarra recibió 8,06 millones, al </w:t>
      </w:r>
      <w:r w:rsidR="005D0560">
        <w:t>computar únicamente los meses de noviembre y diciembre</w:t>
      </w:r>
      <w:r>
        <w:t>, y 48,71 millones en 2023.</w:t>
      </w:r>
      <w:r w:rsidR="005D0560">
        <w:t xml:space="preserve">  </w:t>
      </w:r>
    </w:p>
    <w:p w14:paraId="3605FC1C" w14:textId="77777777" w:rsidR="004B5DA4" w:rsidRDefault="004B5DA4" w:rsidP="00A215EC">
      <w:pPr>
        <w:pStyle w:val="texto"/>
        <w:spacing w:after="140"/>
        <w:jc w:val="both"/>
      </w:pPr>
      <w:r>
        <w:t xml:space="preserve">La normativa establece que la cuantía mensual del IMV viene determinada por la diferencia entre la </w:t>
      </w:r>
      <w:r w:rsidRPr="3896A6D9">
        <w:t>cuantía</w:t>
      </w:r>
      <w:r>
        <w:t xml:space="preserve"> del importe anual de las pensiones no contributivas fijadas anualmente en la ley de presupuestos generales del Estado y el conjunto de todas las rentas e ingresos de la unidad de convivencia del ejercicio anterior.</w:t>
      </w:r>
    </w:p>
    <w:p w14:paraId="1EA59A56" w14:textId="45676899" w:rsidR="004B5DA4" w:rsidRDefault="001D3F60" w:rsidP="00A215EC">
      <w:pPr>
        <w:pStyle w:val="texto"/>
        <w:spacing w:after="140"/>
        <w:jc w:val="both"/>
      </w:pPr>
      <w:r>
        <w:lastRenderedPageBreak/>
        <w:t>Asimismo</w:t>
      </w:r>
      <w:r w:rsidR="004B5DA4">
        <w:t xml:space="preserve">, la normativa establece </w:t>
      </w:r>
      <w:r w:rsidR="004B5DA4" w:rsidRPr="00A215EC">
        <w:rPr>
          <w:lang w:val="es-ES_tradnl"/>
        </w:rPr>
        <w:t>incrementos</w:t>
      </w:r>
      <w:r w:rsidR="004B5DA4">
        <w:t xml:space="preserve"> de cuantías del IMV según las características de la unidad de convivencia que lo perciba: </w:t>
      </w:r>
      <w:r w:rsidR="004B5DA4" w:rsidRPr="004937DD">
        <w:t xml:space="preserve">monoparentalidad, discapacidad entre sus miembros y existencia de menores (complemento </w:t>
      </w:r>
      <w:r w:rsidR="004B5DA4" w:rsidRPr="004B5DA4">
        <w:t>API).</w:t>
      </w:r>
    </w:p>
    <w:p w14:paraId="521E98C0" w14:textId="77777777" w:rsidR="004B5DA4" w:rsidRDefault="004B5DA4" w:rsidP="00A215EC">
      <w:pPr>
        <w:pStyle w:val="texto"/>
        <w:spacing w:after="140"/>
        <w:jc w:val="both"/>
        <w:rPr>
          <w:szCs w:val="26"/>
        </w:rPr>
      </w:pPr>
      <w:r>
        <w:rPr>
          <w:szCs w:val="26"/>
        </w:rPr>
        <w:t>Los requisitos para su obtención son los siguientes:</w:t>
      </w:r>
    </w:p>
    <w:p w14:paraId="7AD6F0D6" w14:textId="02A69150" w:rsidR="004B5DA4" w:rsidRPr="00706F7E" w:rsidRDefault="004B5DA4"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rsidRPr="3896A6D9">
        <w:rPr>
          <w:rFonts w:eastAsia="Calibri"/>
        </w:rPr>
        <w:t>Tener residencia legal y efectiva en España de forma continuada durante el último año</w:t>
      </w:r>
      <w:r w:rsidR="12C66F36" w:rsidRPr="3896A6D9">
        <w:rPr>
          <w:rFonts w:eastAsia="Calibri"/>
        </w:rPr>
        <w:t>,</w:t>
      </w:r>
      <w:r w:rsidRPr="3896A6D9">
        <w:rPr>
          <w:rFonts w:eastAsia="Calibri"/>
        </w:rPr>
        <w:t xml:space="preserve"> salvo alguna excepción al periodo de un año para algunas situaciones.</w:t>
      </w:r>
    </w:p>
    <w:p w14:paraId="22E241F2" w14:textId="77777777" w:rsidR="004B5DA4" w:rsidRPr="00706F7E" w:rsidRDefault="004B5DA4"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rPr>
      </w:pPr>
      <w:r w:rsidRPr="0CCF8A85">
        <w:rPr>
          <w:rFonts w:eastAsia="Calibri"/>
          <w:szCs w:val="26"/>
        </w:rPr>
        <w:t>La unidad de convivencia debe estar formada durante, como mínimo, los seis meses anteriores a la presentación de la solicitud. Se considera unidad de convivencia la constituida por todas las personas que convivan en el mismo domicilio y que estén unidas entre sí por vínculo matrimonial, como pareja de hecho o por vínculo de</w:t>
      </w:r>
      <w:hyperlink r:id="rId16">
        <w:r w:rsidRPr="0CCF8A85">
          <w:rPr>
            <w:rFonts w:eastAsia="Calibri"/>
            <w:szCs w:val="26"/>
          </w:rPr>
          <w:t> consanguinidad, afinidad</w:t>
        </w:r>
      </w:hyperlink>
      <w:r w:rsidRPr="0CCF8A85">
        <w:rPr>
          <w:rFonts w:eastAsia="Calibri"/>
          <w:szCs w:val="26"/>
        </w:rPr>
        <w:t>, adopción o aquellas que convivan en virtud de la guarda con fines de adopción o acogimiento familiar permanente.</w:t>
      </w:r>
    </w:p>
    <w:p w14:paraId="5D08B2A9" w14:textId="2088B1F8" w:rsidR="004B5DA4" w:rsidRDefault="004B5DA4"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rsidRPr="3896A6D9">
        <w:rPr>
          <w:rFonts w:eastAsia="Calibri"/>
        </w:rPr>
        <w:t>Encontrarse en situación de vulnerabilidad económica</w:t>
      </w:r>
      <w:r w:rsidR="66197E46" w:rsidRPr="3896A6D9">
        <w:rPr>
          <w:rFonts w:eastAsia="Calibri"/>
        </w:rPr>
        <w:t>,</w:t>
      </w:r>
      <w:r w:rsidRPr="3896A6D9">
        <w:rPr>
          <w:rFonts w:eastAsia="Calibri"/>
        </w:rPr>
        <w:t xml:space="preserve"> que implica carecer de ingresos o patrimonio suficientes. Se cumple cuando el promedio mensual del conjunto de ingresos y rentas anuales computables, correspondientes al ejercicio anterior, sea inferior, al menos en diez euros, a la cuantía mensual de la renta que corresponda en función de la modalidad y del número de miembros de la unidad de convivencia. </w:t>
      </w:r>
    </w:p>
    <w:p w14:paraId="31BADDC1" w14:textId="0AEA7914" w:rsidR="004B5DA4" w:rsidRPr="009C2DD1" w:rsidRDefault="004B5DA4" w:rsidP="009E43FD">
      <w:pPr>
        <w:pStyle w:val="texto"/>
        <w:tabs>
          <w:tab w:val="clear" w:pos="2835"/>
          <w:tab w:val="clear" w:pos="3969"/>
          <w:tab w:val="clear" w:pos="5103"/>
          <w:tab w:val="clear" w:pos="6237"/>
          <w:tab w:val="clear" w:pos="7371"/>
          <w:tab w:val="num" w:pos="300"/>
          <w:tab w:val="left" w:pos="480"/>
          <w:tab w:val="num" w:pos="600"/>
        </w:tabs>
        <w:spacing w:after="140"/>
        <w:jc w:val="both"/>
        <w:rPr>
          <w:rFonts w:eastAsia="Calibri"/>
        </w:rPr>
      </w:pPr>
      <w:r w:rsidRPr="3896A6D9">
        <w:rPr>
          <w:rFonts w:eastAsia="Calibri"/>
        </w:rPr>
        <w:t>Además de estos requisitos generales, deben reunirse una serie de </w:t>
      </w:r>
      <w:hyperlink r:id="rId17">
        <w:r w:rsidRPr="3896A6D9">
          <w:rPr>
            <w:rFonts w:eastAsia="Calibri"/>
          </w:rPr>
          <w:t>condiciones</w:t>
        </w:r>
      </w:hyperlink>
      <w:r w:rsidRPr="3896A6D9">
        <w:rPr>
          <w:rFonts w:eastAsia="Calibri"/>
        </w:rPr>
        <w:t> referidas a sus circunstancias personales y/o a las de su unidad de convivencia.</w:t>
      </w:r>
    </w:p>
    <w:p w14:paraId="7DD4500D" w14:textId="182EAF28" w:rsidR="002377DF" w:rsidRPr="00760490" w:rsidRDefault="002377DF" w:rsidP="009E6DA7">
      <w:pPr>
        <w:pStyle w:val="atitulo3"/>
        <w:spacing w:before="240"/>
      </w:pPr>
      <w:r>
        <w:t>2.1.3 Evolución del gasto en RG e IMV</w:t>
      </w:r>
    </w:p>
    <w:p w14:paraId="0EEBA001" w14:textId="77777777" w:rsidR="002377DF" w:rsidRDefault="002377DF" w:rsidP="009E43FD">
      <w:pPr>
        <w:pStyle w:val="texto"/>
        <w:keepNext/>
        <w:spacing w:after="240"/>
        <w:jc w:val="both"/>
      </w:pPr>
      <w:r>
        <w:t xml:space="preserve">El gasto de Navarra </w:t>
      </w:r>
      <w:r w:rsidRPr="00A215EC">
        <w:rPr>
          <w:lang w:val="es-ES_tradnl"/>
        </w:rPr>
        <w:t>destinado</w:t>
      </w:r>
      <w:r>
        <w:t xml:space="preserve"> a RG e IMV en el periodo 2019-2023 ascendió a 587,15 millones según el siguiente detalle: </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514"/>
        <w:gridCol w:w="1255"/>
        <w:gridCol w:w="1255"/>
        <w:gridCol w:w="1255"/>
        <w:gridCol w:w="1255"/>
        <w:gridCol w:w="1255"/>
      </w:tblGrid>
      <w:tr w:rsidR="002377DF" w:rsidRPr="003D7202" w14:paraId="662B5361" w14:textId="77777777" w:rsidTr="00247DB6">
        <w:trPr>
          <w:trHeight w:val="255"/>
        </w:trPr>
        <w:tc>
          <w:tcPr>
            <w:tcW w:w="2514" w:type="dxa"/>
            <w:shd w:val="clear" w:color="auto" w:fill="9CC2E5" w:themeFill="accent1" w:themeFillTint="99"/>
            <w:noWrap/>
            <w:vAlign w:val="center"/>
          </w:tcPr>
          <w:p w14:paraId="006600BD" w14:textId="77777777" w:rsidR="002377DF" w:rsidRPr="003D7202" w:rsidRDefault="002377DF" w:rsidP="00155BBC">
            <w:pPr>
              <w:rPr>
                <w:rFonts w:ascii="Arial" w:hAnsi="Arial" w:cs="Arial"/>
                <w:color w:val="000000"/>
                <w:sz w:val="18"/>
                <w:szCs w:val="18"/>
              </w:rPr>
            </w:pPr>
          </w:p>
        </w:tc>
        <w:tc>
          <w:tcPr>
            <w:tcW w:w="1255" w:type="dxa"/>
            <w:shd w:val="clear" w:color="auto" w:fill="9CC2E5" w:themeFill="accent1" w:themeFillTint="99"/>
            <w:noWrap/>
            <w:vAlign w:val="center"/>
          </w:tcPr>
          <w:p w14:paraId="6436F2E1" w14:textId="77777777" w:rsidR="002377DF" w:rsidRPr="003D7202" w:rsidRDefault="002377DF" w:rsidP="00155BBC">
            <w:pPr>
              <w:jc w:val="right"/>
              <w:rPr>
                <w:rFonts w:ascii="Arial" w:hAnsi="Arial" w:cs="Arial"/>
                <w:color w:val="000000"/>
                <w:sz w:val="18"/>
                <w:szCs w:val="18"/>
              </w:rPr>
            </w:pPr>
            <w:r w:rsidRPr="003D7202">
              <w:rPr>
                <w:rFonts w:ascii="Arial" w:hAnsi="Arial" w:cs="Arial"/>
                <w:color w:val="000000"/>
                <w:sz w:val="18"/>
                <w:szCs w:val="18"/>
              </w:rPr>
              <w:t>2019</w:t>
            </w:r>
          </w:p>
        </w:tc>
        <w:tc>
          <w:tcPr>
            <w:tcW w:w="1255" w:type="dxa"/>
            <w:shd w:val="clear" w:color="auto" w:fill="9CC2E5" w:themeFill="accent1" w:themeFillTint="99"/>
            <w:noWrap/>
            <w:vAlign w:val="center"/>
          </w:tcPr>
          <w:p w14:paraId="2B107FA0" w14:textId="77777777" w:rsidR="002377DF" w:rsidRPr="003D7202" w:rsidRDefault="002377DF" w:rsidP="00155BBC">
            <w:pPr>
              <w:jc w:val="right"/>
              <w:rPr>
                <w:rFonts w:ascii="Arial" w:hAnsi="Arial" w:cs="Arial"/>
                <w:color w:val="000000"/>
                <w:sz w:val="18"/>
                <w:szCs w:val="18"/>
              </w:rPr>
            </w:pPr>
            <w:r w:rsidRPr="003D7202">
              <w:rPr>
                <w:rFonts w:ascii="Arial" w:hAnsi="Arial" w:cs="Arial"/>
                <w:color w:val="000000"/>
                <w:sz w:val="18"/>
                <w:szCs w:val="18"/>
              </w:rPr>
              <w:t>2020</w:t>
            </w:r>
          </w:p>
        </w:tc>
        <w:tc>
          <w:tcPr>
            <w:tcW w:w="1255" w:type="dxa"/>
            <w:shd w:val="clear" w:color="auto" w:fill="9CC2E5" w:themeFill="accent1" w:themeFillTint="99"/>
            <w:noWrap/>
            <w:vAlign w:val="center"/>
          </w:tcPr>
          <w:p w14:paraId="32FCF5D7" w14:textId="77777777" w:rsidR="002377DF" w:rsidRPr="003D7202" w:rsidRDefault="002377DF" w:rsidP="00155BBC">
            <w:pPr>
              <w:jc w:val="right"/>
              <w:rPr>
                <w:rFonts w:ascii="Arial" w:hAnsi="Arial" w:cs="Arial"/>
                <w:color w:val="000000"/>
                <w:sz w:val="18"/>
                <w:szCs w:val="18"/>
              </w:rPr>
            </w:pPr>
            <w:r w:rsidRPr="003D7202">
              <w:rPr>
                <w:rFonts w:ascii="Arial" w:hAnsi="Arial" w:cs="Arial"/>
                <w:color w:val="000000"/>
                <w:sz w:val="18"/>
                <w:szCs w:val="18"/>
              </w:rPr>
              <w:t>2021</w:t>
            </w:r>
          </w:p>
        </w:tc>
        <w:tc>
          <w:tcPr>
            <w:tcW w:w="1255" w:type="dxa"/>
            <w:shd w:val="clear" w:color="auto" w:fill="9CC2E5" w:themeFill="accent1" w:themeFillTint="99"/>
            <w:noWrap/>
            <w:vAlign w:val="center"/>
          </w:tcPr>
          <w:p w14:paraId="2D701558" w14:textId="77777777" w:rsidR="002377DF" w:rsidRPr="003D7202" w:rsidRDefault="002377DF" w:rsidP="00155BBC">
            <w:pPr>
              <w:jc w:val="right"/>
              <w:rPr>
                <w:rFonts w:ascii="Arial" w:hAnsi="Arial" w:cs="Arial"/>
                <w:color w:val="000000"/>
                <w:sz w:val="18"/>
                <w:szCs w:val="18"/>
              </w:rPr>
            </w:pPr>
            <w:r w:rsidRPr="003D7202">
              <w:rPr>
                <w:rFonts w:ascii="Arial" w:hAnsi="Arial" w:cs="Arial"/>
                <w:color w:val="000000"/>
                <w:sz w:val="18"/>
                <w:szCs w:val="18"/>
              </w:rPr>
              <w:t>2022</w:t>
            </w:r>
          </w:p>
        </w:tc>
        <w:tc>
          <w:tcPr>
            <w:tcW w:w="1255" w:type="dxa"/>
            <w:shd w:val="clear" w:color="auto" w:fill="9CC2E5" w:themeFill="accent1" w:themeFillTint="99"/>
            <w:vAlign w:val="center"/>
          </w:tcPr>
          <w:p w14:paraId="3FEF9B73" w14:textId="77777777" w:rsidR="002377DF" w:rsidRPr="003D7202" w:rsidRDefault="002377DF" w:rsidP="00155BBC">
            <w:pPr>
              <w:jc w:val="right"/>
              <w:rPr>
                <w:rFonts w:ascii="Arial" w:hAnsi="Arial" w:cs="Arial"/>
                <w:color w:val="000000"/>
                <w:sz w:val="18"/>
                <w:szCs w:val="18"/>
              </w:rPr>
            </w:pPr>
            <w:r>
              <w:rPr>
                <w:rFonts w:ascii="Arial" w:hAnsi="Arial" w:cs="Arial"/>
                <w:color w:val="000000"/>
                <w:sz w:val="18"/>
                <w:szCs w:val="18"/>
              </w:rPr>
              <w:t>2023</w:t>
            </w:r>
          </w:p>
        </w:tc>
      </w:tr>
      <w:tr w:rsidR="002377DF" w:rsidRPr="009C2DD1" w14:paraId="4C76D40D" w14:textId="77777777" w:rsidTr="00247DB6">
        <w:trPr>
          <w:trHeight w:val="198"/>
        </w:trPr>
        <w:tc>
          <w:tcPr>
            <w:tcW w:w="2514" w:type="dxa"/>
            <w:tcBorders>
              <w:bottom w:val="single" w:sz="2" w:space="0" w:color="auto"/>
            </w:tcBorders>
            <w:shd w:val="clear" w:color="auto" w:fill="auto"/>
            <w:noWrap/>
            <w:vAlign w:val="center"/>
            <w:hideMark/>
          </w:tcPr>
          <w:p w14:paraId="272AB0D1" w14:textId="77777777" w:rsidR="002377DF" w:rsidRPr="009C2DD1" w:rsidRDefault="002377DF" w:rsidP="00155BBC">
            <w:pPr>
              <w:rPr>
                <w:rFonts w:ascii="Arial Narrow" w:hAnsi="Arial Narrow" w:cs="Calibri"/>
                <w:color w:val="000000"/>
                <w:sz w:val="20"/>
                <w:szCs w:val="20"/>
              </w:rPr>
            </w:pPr>
            <w:r w:rsidRPr="009C2DD1">
              <w:rPr>
                <w:rFonts w:ascii="Arial Narrow" w:hAnsi="Arial Narrow" w:cs="Calibri"/>
                <w:color w:val="000000"/>
                <w:sz w:val="20"/>
                <w:szCs w:val="20"/>
              </w:rPr>
              <w:t>Renta garantizada</w:t>
            </w:r>
          </w:p>
        </w:tc>
        <w:tc>
          <w:tcPr>
            <w:tcW w:w="1255" w:type="dxa"/>
            <w:tcBorders>
              <w:bottom w:val="single" w:sz="2" w:space="0" w:color="auto"/>
            </w:tcBorders>
            <w:shd w:val="clear" w:color="auto" w:fill="auto"/>
            <w:noWrap/>
            <w:vAlign w:val="center"/>
            <w:hideMark/>
          </w:tcPr>
          <w:p w14:paraId="2BCE1014" w14:textId="77777777" w:rsidR="002377DF" w:rsidRPr="009C2DD1" w:rsidRDefault="002377DF" w:rsidP="00155BBC">
            <w:pPr>
              <w:jc w:val="right"/>
              <w:rPr>
                <w:rFonts w:ascii="Arial Narrow" w:hAnsi="Arial Narrow" w:cs="Calibri"/>
                <w:color w:val="000000"/>
                <w:sz w:val="20"/>
                <w:szCs w:val="20"/>
              </w:rPr>
            </w:pPr>
            <w:r w:rsidRPr="009C2DD1">
              <w:rPr>
                <w:rFonts w:ascii="Arial Narrow" w:hAnsi="Arial Narrow" w:cs="Calibri"/>
                <w:color w:val="000000"/>
                <w:sz w:val="20"/>
                <w:szCs w:val="20"/>
              </w:rPr>
              <w:t>103.087.442</w:t>
            </w:r>
          </w:p>
        </w:tc>
        <w:tc>
          <w:tcPr>
            <w:tcW w:w="1255" w:type="dxa"/>
            <w:tcBorders>
              <w:bottom w:val="single" w:sz="2" w:space="0" w:color="auto"/>
            </w:tcBorders>
            <w:shd w:val="clear" w:color="auto" w:fill="auto"/>
            <w:noWrap/>
            <w:vAlign w:val="center"/>
            <w:hideMark/>
          </w:tcPr>
          <w:p w14:paraId="1B4B940D" w14:textId="77777777" w:rsidR="002377DF" w:rsidRPr="009C2DD1" w:rsidRDefault="002377DF" w:rsidP="00155BBC">
            <w:pPr>
              <w:jc w:val="right"/>
              <w:rPr>
                <w:rFonts w:ascii="Arial Narrow" w:hAnsi="Arial Narrow" w:cs="Calibri"/>
                <w:color w:val="000000"/>
                <w:sz w:val="20"/>
                <w:szCs w:val="20"/>
              </w:rPr>
            </w:pPr>
            <w:r w:rsidRPr="009C2DD1">
              <w:rPr>
                <w:rFonts w:ascii="Arial Narrow" w:hAnsi="Arial Narrow" w:cs="Calibri"/>
                <w:color w:val="000000"/>
                <w:sz w:val="20"/>
                <w:szCs w:val="20"/>
              </w:rPr>
              <w:t>114.464.380</w:t>
            </w:r>
          </w:p>
        </w:tc>
        <w:tc>
          <w:tcPr>
            <w:tcW w:w="1255" w:type="dxa"/>
            <w:tcBorders>
              <w:bottom w:val="single" w:sz="2" w:space="0" w:color="auto"/>
            </w:tcBorders>
            <w:shd w:val="clear" w:color="auto" w:fill="auto"/>
            <w:noWrap/>
            <w:vAlign w:val="center"/>
            <w:hideMark/>
          </w:tcPr>
          <w:p w14:paraId="3D7B86D2" w14:textId="77777777" w:rsidR="002377DF" w:rsidRPr="009C2DD1" w:rsidRDefault="002377DF" w:rsidP="00155BBC">
            <w:pPr>
              <w:jc w:val="right"/>
              <w:rPr>
                <w:rFonts w:ascii="Arial Narrow" w:hAnsi="Arial Narrow" w:cs="Calibri"/>
                <w:color w:val="000000"/>
                <w:sz w:val="20"/>
                <w:szCs w:val="20"/>
              </w:rPr>
            </w:pPr>
            <w:r w:rsidRPr="009C2DD1">
              <w:rPr>
                <w:rFonts w:ascii="Arial Narrow" w:hAnsi="Arial Narrow" w:cs="Calibri"/>
                <w:color w:val="000000"/>
                <w:sz w:val="20"/>
                <w:szCs w:val="20"/>
              </w:rPr>
              <w:t>110.767.525</w:t>
            </w:r>
          </w:p>
        </w:tc>
        <w:tc>
          <w:tcPr>
            <w:tcW w:w="1255" w:type="dxa"/>
            <w:tcBorders>
              <w:bottom w:val="single" w:sz="2" w:space="0" w:color="auto"/>
            </w:tcBorders>
            <w:shd w:val="clear" w:color="auto" w:fill="auto"/>
            <w:noWrap/>
            <w:vAlign w:val="center"/>
            <w:hideMark/>
          </w:tcPr>
          <w:p w14:paraId="46F006CC" w14:textId="77777777" w:rsidR="002377DF" w:rsidRPr="009C2DD1" w:rsidRDefault="002377DF" w:rsidP="00155BBC">
            <w:pPr>
              <w:jc w:val="right"/>
              <w:rPr>
                <w:rFonts w:ascii="Arial Narrow" w:hAnsi="Arial Narrow" w:cs="Calibri"/>
                <w:color w:val="000000"/>
                <w:sz w:val="20"/>
                <w:szCs w:val="20"/>
              </w:rPr>
            </w:pPr>
            <w:r w:rsidRPr="009C2DD1">
              <w:rPr>
                <w:rFonts w:ascii="Arial Narrow" w:hAnsi="Arial Narrow" w:cs="Calibri"/>
                <w:color w:val="000000"/>
                <w:sz w:val="20"/>
                <w:szCs w:val="20"/>
              </w:rPr>
              <w:t>96.991.101</w:t>
            </w:r>
          </w:p>
        </w:tc>
        <w:tc>
          <w:tcPr>
            <w:tcW w:w="1255" w:type="dxa"/>
            <w:tcBorders>
              <w:bottom w:val="single" w:sz="2" w:space="0" w:color="auto"/>
            </w:tcBorders>
            <w:vAlign w:val="center"/>
          </w:tcPr>
          <w:p w14:paraId="01419827" w14:textId="77777777" w:rsidR="002377DF" w:rsidRPr="007D5D01" w:rsidRDefault="002377DF" w:rsidP="00155BBC">
            <w:pPr>
              <w:jc w:val="right"/>
              <w:rPr>
                <w:rFonts w:ascii="Arial Narrow" w:hAnsi="Arial Narrow" w:cs="Calibri"/>
                <w:color w:val="000000"/>
                <w:sz w:val="20"/>
                <w:szCs w:val="20"/>
              </w:rPr>
            </w:pPr>
            <w:r w:rsidRPr="007D5D01">
              <w:rPr>
                <w:rFonts w:ascii="Arial Narrow" w:hAnsi="Arial Narrow" w:cs="Calibri"/>
                <w:color w:val="000000"/>
                <w:sz w:val="20"/>
                <w:szCs w:val="20"/>
              </w:rPr>
              <w:t>103.</w:t>
            </w:r>
            <w:r>
              <w:rPr>
                <w:rFonts w:ascii="Arial Narrow" w:hAnsi="Arial Narrow" w:cs="Calibri"/>
                <w:color w:val="000000"/>
                <w:sz w:val="20"/>
                <w:szCs w:val="20"/>
              </w:rPr>
              <w:t>050.234</w:t>
            </w:r>
          </w:p>
        </w:tc>
      </w:tr>
      <w:tr w:rsidR="002377DF" w:rsidRPr="007820AC" w14:paraId="6F5B79AD" w14:textId="77777777" w:rsidTr="009E6DA7">
        <w:trPr>
          <w:trHeight w:val="198"/>
        </w:trPr>
        <w:tc>
          <w:tcPr>
            <w:tcW w:w="2514" w:type="dxa"/>
            <w:tcBorders>
              <w:top w:val="single" w:sz="2" w:space="0" w:color="auto"/>
              <w:bottom w:val="single" w:sz="4" w:space="0" w:color="auto"/>
            </w:tcBorders>
            <w:shd w:val="clear" w:color="auto" w:fill="auto"/>
            <w:noWrap/>
            <w:vAlign w:val="center"/>
            <w:hideMark/>
          </w:tcPr>
          <w:p w14:paraId="05B1E64C" w14:textId="77777777" w:rsidR="002377DF" w:rsidRPr="007820AC" w:rsidRDefault="002377DF" w:rsidP="00155BBC">
            <w:pPr>
              <w:rPr>
                <w:rFonts w:ascii="Arial Narrow" w:hAnsi="Arial Narrow" w:cs="Calibri"/>
                <w:color w:val="000000"/>
                <w:sz w:val="20"/>
                <w:szCs w:val="20"/>
              </w:rPr>
            </w:pPr>
            <w:r w:rsidRPr="007820AC">
              <w:rPr>
                <w:rFonts w:ascii="Arial Narrow" w:hAnsi="Arial Narrow" w:cs="Calibri"/>
                <w:color w:val="000000"/>
                <w:sz w:val="20"/>
                <w:szCs w:val="20"/>
              </w:rPr>
              <w:t>Ingreso Mínimo Vital</w:t>
            </w:r>
          </w:p>
        </w:tc>
        <w:tc>
          <w:tcPr>
            <w:tcW w:w="1255" w:type="dxa"/>
            <w:tcBorders>
              <w:top w:val="single" w:sz="2" w:space="0" w:color="auto"/>
              <w:bottom w:val="single" w:sz="4" w:space="0" w:color="auto"/>
            </w:tcBorders>
            <w:shd w:val="clear" w:color="auto" w:fill="auto"/>
            <w:noWrap/>
            <w:vAlign w:val="center"/>
            <w:hideMark/>
          </w:tcPr>
          <w:p w14:paraId="14DC9BF2" w14:textId="77777777" w:rsidR="002377DF" w:rsidRPr="007820AC" w:rsidRDefault="002377DF" w:rsidP="00155BBC">
            <w:pPr>
              <w:jc w:val="right"/>
              <w:rPr>
                <w:rFonts w:ascii="Arial Narrow" w:hAnsi="Arial Narrow" w:cs="Calibri"/>
                <w:color w:val="000000"/>
                <w:sz w:val="20"/>
                <w:szCs w:val="20"/>
              </w:rPr>
            </w:pPr>
            <w:r w:rsidRPr="007820AC">
              <w:rPr>
                <w:rFonts w:ascii="Arial Narrow" w:hAnsi="Arial Narrow" w:cs="Calibri"/>
                <w:color w:val="000000"/>
                <w:sz w:val="20"/>
                <w:szCs w:val="20"/>
              </w:rPr>
              <w:t>-</w:t>
            </w:r>
          </w:p>
        </w:tc>
        <w:tc>
          <w:tcPr>
            <w:tcW w:w="1255" w:type="dxa"/>
            <w:tcBorders>
              <w:top w:val="single" w:sz="2" w:space="0" w:color="auto"/>
              <w:bottom w:val="single" w:sz="4" w:space="0" w:color="auto"/>
            </w:tcBorders>
            <w:shd w:val="clear" w:color="auto" w:fill="auto"/>
            <w:noWrap/>
            <w:vAlign w:val="center"/>
            <w:hideMark/>
          </w:tcPr>
          <w:p w14:paraId="6E575E70" w14:textId="77777777" w:rsidR="002377DF" w:rsidRPr="007820AC" w:rsidRDefault="002377DF" w:rsidP="00155BBC">
            <w:pPr>
              <w:jc w:val="right"/>
              <w:rPr>
                <w:rFonts w:ascii="Arial Narrow" w:hAnsi="Arial Narrow" w:cs="Calibri"/>
                <w:color w:val="000000"/>
                <w:sz w:val="20"/>
                <w:szCs w:val="20"/>
              </w:rPr>
            </w:pPr>
            <w:r w:rsidRPr="007820AC">
              <w:rPr>
                <w:rFonts w:ascii="Arial Narrow" w:hAnsi="Arial Narrow" w:cs="Calibri"/>
                <w:color w:val="000000"/>
                <w:sz w:val="20"/>
                <w:szCs w:val="20"/>
              </w:rPr>
              <w:t>-</w:t>
            </w:r>
          </w:p>
        </w:tc>
        <w:tc>
          <w:tcPr>
            <w:tcW w:w="1255" w:type="dxa"/>
            <w:tcBorders>
              <w:top w:val="single" w:sz="2" w:space="0" w:color="auto"/>
              <w:bottom w:val="single" w:sz="4" w:space="0" w:color="auto"/>
            </w:tcBorders>
            <w:shd w:val="clear" w:color="auto" w:fill="auto"/>
            <w:noWrap/>
            <w:vAlign w:val="center"/>
            <w:hideMark/>
          </w:tcPr>
          <w:p w14:paraId="28CEF27D" w14:textId="77777777" w:rsidR="002377DF" w:rsidRPr="007820AC" w:rsidRDefault="002377DF" w:rsidP="00155BBC">
            <w:pPr>
              <w:jc w:val="right"/>
              <w:rPr>
                <w:rFonts w:ascii="Arial Narrow" w:hAnsi="Arial Narrow" w:cs="Calibri"/>
                <w:color w:val="000000"/>
                <w:sz w:val="20"/>
                <w:szCs w:val="20"/>
              </w:rPr>
            </w:pPr>
            <w:r w:rsidRPr="007820AC">
              <w:rPr>
                <w:rFonts w:ascii="Arial Narrow" w:hAnsi="Arial Narrow" w:cs="Calibri"/>
                <w:color w:val="000000"/>
                <w:sz w:val="20"/>
                <w:szCs w:val="20"/>
              </w:rPr>
              <w:t>-</w:t>
            </w:r>
          </w:p>
        </w:tc>
        <w:tc>
          <w:tcPr>
            <w:tcW w:w="1255" w:type="dxa"/>
            <w:tcBorders>
              <w:top w:val="single" w:sz="2" w:space="0" w:color="auto"/>
              <w:bottom w:val="single" w:sz="4" w:space="0" w:color="auto"/>
            </w:tcBorders>
            <w:shd w:val="clear" w:color="auto" w:fill="auto"/>
            <w:noWrap/>
            <w:vAlign w:val="center"/>
            <w:hideMark/>
          </w:tcPr>
          <w:p w14:paraId="26396C5F" w14:textId="77777777" w:rsidR="002377DF" w:rsidRPr="007820AC" w:rsidRDefault="002377DF" w:rsidP="00155BBC">
            <w:pPr>
              <w:jc w:val="right"/>
              <w:rPr>
                <w:rFonts w:ascii="Arial Narrow" w:hAnsi="Arial Narrow" w:cs="Calibri"/>
                <w:color w:val="000000"/>
                <w:sz w:val="20"/>
                <w:szCs w:val="20"/>
              </w:rPr>
            </w:pPr>
            <w:r w:rsidRPr="007820AC">
              <w:rPr>
                <w:rFonts w:ascii="Arial Narrow" w:hAnsi="Arial Narrow" w:cs="Calibri"/>
                <w:color w:val="000000"/>
                <w:sz w:val="20"/>
                <w:szCs w:val="20"/>
              </w:rPr>
              <w:t>7.915.194</w:t>
            </w:r>
          </w:p>
        </w:tc>
        <w:tc>
          <w:tcPr>
            <w:tcW w:w="1255" w:type="dxa"/>
            <w:tcBorders>
              <w:top w:val="single" w:sz="2" w:space="0" w:color="auto"/>
              <w:bottom w:val="single" w:sz="4" w:space="0" w:color="auto"/>
            </w:tcBorders>
            <w:vAlign w:val="center"/>
          </w:tcPr>
          <w:p w14:paraId="03FF2C84" w14:textId="77777777" w:rsidR="002377DF" w:rsidRPr="007820AC" w:rsidRDefault="002377DF" w:rsidP="00155BBC">
            <w:pPr>
              <w:jc w:val="right"/>
              <w:rPr>
                <w:rFonts w:ascii="Arial Narrow" w:hAnsi="Arial Narrow" w:cs="Calibri"/>
                <w:color w:val="000000"/>
                <w:sz w:val="20"/>
                <w:szCs w:val="20"/>
              </w:rPr>
            </w:pPr>
            <w:r>
              <w:rPr>
                <w:rFonts w:ascii="Arial Narrow" w:hAnsi="Arial Narrow" w:cs="Calibri"/>
                <w:color w:val="000000" w:themeColor="text1"/>
                <w:sz w:val="20"/>
                <w:szCs w:val="20"/>
              </w:rPr>
              <w:t>49.981.353</w:t>
            </w:r>
          </w:p>
        </w:tc>
      </w:tr>
      <w:tr w:rsidR="002377DF" w:rsidRPr="00342639" w14:paraId="4C01396B" w14:textId="77777777" w:rsidTr="00247DB6">
        <w:trPr>
          <w:trHeight w:val="255"/>
        </w:trPr>
        <w:tc>
          <w:tcPr>
            <w:tcW w:w="2514" w:type="dxa"/>
            <w:shd w:val="clear" w:color="auto" w:fill="9CC2E5" w:themeFill="accent1" w:themeFillTint="99"/>
            <w:noWrap/>
            <w:vAlign w:val="center"/>
          </w:tcPr>
          <w:p w14:paraId="2357C4C1" w14:textId="77777777" w:rsidR="002377DF" w:rsidRPr="00342639" w:rsidRDefault="002377DF" w:rsidP="00155BBC">
            <w:pPr>
              <w:rPr>
                <w:rFonts w:ascii="Arial" w:hAnsi="Arial" w:cs="Arial"/>
                <w:color w:val="000000"/>
                <w:sz w:val="18"/>
                <w:szCs w:val="18"/>
              </w:rPr>
            </w:pPr>
            <w:r w:rsidRPr="00342639">
              <w:rPr>
                <w:rFonts w:ascii="Arial" w:hAnsi="Arial" w:cs="Arial"/>
                <w:color w:val="000000"/>
                <w:sz w:val="18"/>
                <w:szCs w:val="18"/>
              </w:rPr>
              <w:t xml:space="preserve">Total </w:t>
            </w:r>
          </w:p>
        </w:tc>
        <w:tc>
          <w:tcPr>
            <w:tcW w:w="1255" w:type="dxa"/>
            <w:shd w:val="clear" w:color="auto" w:fill="9CC2E5" w:themeFill="accent1" w:themeFillTint="99"/>
            <w:noWrap/>
            <w:vAlign w:val="center"/>
          </w:tcPr>
          <w:p w14:paraId="7923F0F5" w14:textId="77777777" w:rsidR="002377DF" w:rsidRPr="00342639" w:rsidRDefault="002377DF" w:rsidP="00155BBC">
            <w:pPr>
              <w:jc w:val="right"/>
              <w:rPr>
                <w:rFonts w:ascii="Arial" w:hAnsi="Arial" w:cs="Arial"/>
                <w:color w:val="000000"/>
                <w:sz w:val="18"/>
                <w:szCs w:val="18"/>
              </w:rPr>
            </w:pPr>
            <w:r w:rsidRPr="00342639">
              <w:rPr>
                <w:rFonts w:ascii="Arial" w:hAnsi="Arial" w:cs="Arial"/>
                <w:color w:val="000000"/>
                <w:sz w:val="18"/>
                <w:szCs w:val="18"/>
              </w:rPr>
              <w:t>103.087.442</w:t>
            </w:r>
          </w:p>
        </w:tc>
        <w:tc>
          <w:tcPr>
            <w:tcW w:w="1255" w:type="dxa"/>
            <w:shd w:val="clear" w:color="auto" w:fill="9CC2E5" w:themeFill="accent1" w:themeFillTint="99"/>
            <w:noWrap/>
            <w:vAlign w:val="center"/>
          </w:tcPr>
          <w:p w14:paraId="72DFE6D4" w14:textId="77777777" w:rsidR="002377DF" w:rsidRPr="00342639" w:rsidRDefault="002377DF" w:rsidP="00155BBC">
            <w:pPr>
              <w:jc w:val="right"/>
              <w:rPr>
                <w:rFonts w:ascii="Arial" w:hAnsi="Arial" w:cs="Arial"/>
                <w:color w:val="000000"/>
                <w:sz w:val="18"/>
                <w:szCs w:val="18"/>
              </w:rPr>
            </w:pPr>
            <w:r w:rsidRPr="00342639">
              <w:rPr>
                <w:rFonts w:ascii="Arial" w:hAnsi="Arial" w:cs="Arial"/>
                <w:color w:val="000000"/>
                <w:sz w:val="18"/>
                <w:szCs w:val="18"/>
              </w:rPr>
              <w:t>114.464.380</w:t>
            </w:r>
          </w:p>
        </w:tc>
        <w:tc>
          <w:tcPr>
            <w:tcW w:w="1255" w:type="dxa"/>
            <w:shd w:val="clear" w:color="auto" w:fill="9CC2E5" w:themeFill="accent1" w:themeFillTint="99"/>
            <w:noWrap/>
            <w:vAlign w:val="center"/>
          </w:tcPr>
          <w:p w14:paraId="12A74EBA" w14:textId="77777777" w:rsidR="002377DF" w:rsidRPr="00342639" w:rsidRDefault="002377DF" w:rsidP="00155BBC">
            <w:pPr>
              <w:jc w:val="right"/>
              <w:rPr>
                <w:rFonts w:ascii="Arial" w:hAnsi="Arial" w:cs="Arial"/>
                <w:color w:val="000000"/>
                <w:sz w:val="18"/>
                <w:szCs w:val="18"/>
              </w:rPr>
            </w:pPr>
            <w:r w:rsidRPr="00342639">
              <w:rPr>
                <w:rFonts w:ascii="Arial" w:hAnsi="Arial" w:cs="Arial"/>
                <w:color w:val="000000"/>
                <w:sz w:val="18"/>
                <w:szCs w:val="18"/>
              </w:rPr>
              <w:t>110.767.525</w:t>
            </w:r>
          </w:p>
        </w:tc>
        <w:tc>
          <w:tcPr>
            <w:tcW w:w="1255" w:type="dxa"/>
            <w:shd w:val="clear" w:color="auto" w:fill="9CC2E5" w:themeFill="accent1" w:themeFillTint="99"/>
            <w:noWrap/>
            <w:vAlign w:val="center"/>
          </w:tcPr>
          <w:p w14:paraId="3783E4DA" w14:textId="77777777" w:rsidR="002377DF" w:rsidRPr="00342639" w:rsidRDefault="002377DF" w:rsidP="00155BBC">
            <w:pPr>
              <w:jc w:val="right"/>
              <w:rPr>
                <w:rFonts w:ascii="Arial" w:hAnsi="Arial" w:cs="Arial"/>
                <w:color w:val="000000"/>
                <w:sz w:val="18"/>
                <w:szCs w:val="18"/>
              </w:rPr>
            </w:pPr>
            <w:r>
              <w:rPr>
                <w:rFonts w:ascii="Arial" w:hAnsi="Arial" w:cs="Arial"/>
                <w:color w:val="000000"/>
                <w:sz w:val="18"/>
                <w:szCs w:val="18"/>
              </w:rPr>
              <w:t>104.906.295</w:t>
            </w:r>
          </w:p>
        </w:tc>
        <w:tc>
          <w:tcPr>
            <w:tcW w:w="1255" w:type="dxa"/>
            <w:shd w:val="clear" w:color="auto" w:fill="9CC2E5" w:themeFill="accent1" w:themeFillTint="99"/>
            <w:vAlign w:val="center"/>
          </w:tcPr>
          <w:p w14:paraId="59EF4A46" w14:textId="77777777" w:rsidR="002377DF" w:rsidRPr="00342639" w:rsidRDefault="002377DF" w:rsidP="00155BBC">
            <w:pPr>
              <w:jc w:val="right"/>
              <w:rPr>
                <w:rFonts w:ascii="Arial" w:hAnsi="Arial" w:cs="Arial"/>
                <w:color w:val="000000"/>
                <w:sz w:val="18"/>
                <w:szCs w:val="18"/>
              </w:rPr>
            </w:pPr>
            <w:r>
              <w:rPr>
                <w:rFonts w:ascii="Arial" w:hAnsi="Arial" w:cs="Arial"/>
                <w:color w:val="000000"/>
                <w:sz w:val="18"/>
                <w:szCs w:val="18"/>
              </w:rPr>
              <w:t>153.031.587</w:t>
            </w:r>
          </w:p>
        </w:tc>
      </w:tr>
    </w:tbl>
    <w:p w14:paraId="66049D7A" w14:textId="5F8812F7" w:rsidR="002377DF" w:rsidRDefault="002377DF" w:rsidP="004F503F">
      <w:pPr>
        <w:pStyle w:val="texto"/>
        <w:spacing w:before="240" w:after="140"/>
        <w:jc w:val="both"/>
        <w:rPr>
          <w:szCs w:val="26"/>
        </w:rPr>
      </w:pPr>
      <w:r>
        <w:rPr>
          <w:szCs w:val="26"/>
        </w:rPr>
        <w:t xml:space="preserve">Del análisis de los datos </w:t>
      </w:r>
      <w:r w:rsidRPr="00A215EC">
        <w:rPr>
          <w:lang w:val="es-ES_tradnl"/>
        </w:rPr>
        <w:t>anteriores</w:t>
      </w:r>
      <w:r>
        <w:rPr>
          <w:szCs w:val="26"/>
        </w:rPr>
        <w:t xml:space="preserve"> señalamos lo siguiente:</w:t>
      </w:r>
    </w:p>
    <w:p w14:paraId="5A1A48D4" w14:textId="12197650" w:rsidR="002377DF" w:rsidRDefault="002377DF"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rPr>
      </w:pPr>
      <w:r w:rsidRPr="5D8B6717">
        <w:rPr>
          <w:rFonts w:eastAsia="Calibri"/>
          <w:szCs w:val="26"/>
        </w:rPr>
        <w:t>El gasto en RG de 2023 ascendió a 103,05 millones</w:t>
      </w:r>
      <w:r w:rsidR="009E43FD">
        <w:rPr>
          <w:rFonts w:eastAsia="Calibri"/>
          <w:szCs w:val="26"/>
        </w:rPr>
        <w:t>,</w:t>
      </w:r>
      <w:r w:rsidRPr="5D8B6717">
        <w:rPr>
          <w:rFonts w:eastAsia="Calibri"/>
          <w:szCs w:val="26"/>
        </w:rPr>
        <w:t xml:space="preserve"> cifra similar a la de 2019.</w:t>
      </w:r>
    </w:p>
    <w:p w14:paraId="7BC081C4" w14:textId="2AE377EB" w:rsidR="002377DF" w:rsidRPr="009E43FD" w:rsidRDefault="002377DF" w:rsidP="009E43FD">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lang w:val="es-ES_tradnl"/>
        </w:rPr>
      </w:pPr>
      <w:r w:rsidRPr="00AB59A7">
        <w:rPr>
          <w:rFonts w:eastAsia="Calibri"/>
          <w:szCs w:val="26"/>
          <w:lang w:val="es-ES_tradnl"/>
        </w:rPr>
        <w:t xml:space="preserve">El gasto de IMV en 2023 ascendió a </w:t>
      </w:r>
      <w:r>
        <w:rPr>
          <w:rFonts w:eastAsia="Calibri"/>
          <w:szCs w:val="26"/>
          <w:lang w:val="es-ES_tradnl"/>
        </w:rPr>
        <w:t>49,98</w:t>
      </w:r>
      <w:r w:rsidRPr="00AB59A7">
        <w:rPr>
          <w:rFonts w:eastAsia="Calibri"/>
          <w:szCs w:val="26"/>
          <w:lang w:val="es-ES_tradnl"/>
        </w:rPr>
        <w:t xml:space="preserve"> millones cifra superior a la de 2022</w:t>
      </w:r>
      <w:r>
        <w:rPr>
          <w:rStyle w:val="Refdenotaalpie"/>
          <w:rFonts w:eastAsia="Calibri"/>
          <w:szCs w:val="26"/>
          <w:lang w:val="es-ES_tradnl"/>
        </w:rPr>
        <w:footnoteReference w:id="13"/>
      </w:r>
      <w:r w:rsidRPr="00AB59A7">
        <w:rPr>
          <w:rFonts w:eastAsia="Calibri"/>
          <w:szCs w:val="26"/>
          <w:lang w:val="es-ES_tradnl"/>
        </w:rPr>
        <w:t xml:space="preserve"> en un 447 por ciento al referirse a un año completo e incluir gasto de </w:t>
      </w:r>
      <w:r w:rsidRPr="00AB59A7">
        <w:rPr>
          <w:rFonts w:eastAsia="Calibri"/>
          <w:szCs w:val="26"/>
          <w:lang w:val="es-ES_tradnl"/>
        </w:rPr>
        <w:lastRenderedPageBreak/>
        <w:t xml:space="preserve">solicitudes de 2022 resueltas en 2023. </w:t>
      </w:r>
      <w:r w:rsidRPr="009E43FD">
        <w:rPr>
          <w:rFonts w:eastAsia="Calibri"/>
        </w:rPr>
        <w:t xml:space="preserve">De </w:t>
      </w:r>
      <w:r w:rsidR="009E43FD">
        <w:rPr>
          <w:rFonts w:eastAsia="Calibri"/>
        </w:rPr>
        <w:t>este gasto</w:t>
      </w:r>
      <w:r w:rsidRPr="009E43FD">
        <w:rPr>
          <w:rFonts w:eastAsia="Calibri"/>
        </w:rPr>
        <w:t xml:space="preserve">, 6,67 millones se corresponden con </w:t>
      </w:r>
      <w:r w:rsidR="009E43FD">
        <w:rPr>
          <w:rFonts w:eastAsia="Calibri"/>
        </w:rPr>
        <w:t>la</w:t>
      </w:r>
      <w:r w:rsidRPr="009E43FD">
        <w:rPr>
          <w:rFonts w:eastAsia="Calibri"/>
        </w:rPr>
        <w:t xml:space="preserve"> API, sin que </w:t>
      </w:r>
      <w:r w:rsidRPr="3896A6D9">
        <w:t>conste</w:t>
      </w:r>
      <w:r w:rsidRPr="009E43FD">
        <w:rPr>
          <w:rFonts w:eastAsia="Calibri"/>
        </w:rPr>
        <w:t xml:space="preserve"> en 2022 gasto por este concepto.</w:t>
      </w:r>
    </w:p>
    <w:p w14:paraId="233F2BB3" w14:textId="2F1FC349" w:rsidR="002377DF" w:rsidRDefault="002377DF"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rPr>
      </w:pPr>
      <w:r>
        <w:rPr>
          <w:rFonts w:eastAsia="Calibri"/>
          <w:szCs w:val="26"/>
        </w:rPr>
        <w:t>S</w:t>
      </w:r>
      <w:r w:rsidRPr="0CCF8A85">
        <w:rPr>
          <w:rFonts w:eastAsia="Calibri"/>
          <w:szCs w:val="26"/>
        </w:rPr>
        <w:t xml:space="preserve">i </w:t>
      </w:r>
      <w:r>
        <w:rPr>
          <w:rFonts w:eastAsia="Calibri"/>
          <w:szCs w:val="26"/>
        </w:rPr>
        <w:t>analizamos</w:t>
      </w:r>
      <w:r w:rsidRPr="0CCF8A85">
        <w:rPr>
          <w:rFonts w:eastAsia="Calibri"/>
          <w:szCs w:val="26"/>
        </w:rPr>
        <w:t xml:space="preserve"> </w:t>
      </w:r>
      <w:r>
        <w:rPr>
          <w:rFonts w:eastAsia="Calibri"/>
          <w:szCs w:val="26"/>
        </w:rPr>
        <w:t xml:space="preserve">para 2023 </w:t>
      </w:r>
      <w:r w:rsidRPr="0CCF8A85">
        <w:rPr>
          <w:rFonts w:eastAsia="Calibri"/>
          <w:szCs w:val="26"/>
        </w:rPr>
        <w:t xml:space="preserve">el gasto </w:t>
      </w:r>
      <w:r>
        <w:rPr>
          <w:rFonts w:eastAsia="Calibri"/>
          <w:szCs w:val="26"/>
        </w:rPr>
        <w:t xml:space="preserve">de RG e IMV, </w:t>
      </w:r>
      <w:r w:rsidR="00E82F24">
        <w:rPr>
          <w:rFonts w:eastAsia="Calibri"/>
          <w:szCs w:val="26"/>
        </w:rPr>
        <w:t>e</w:t>
      </w:r>
      <w:r>
        <w:rPr>
          <w:rFonts w:eastAsia="Calibri"/>
          <w:szCs w:val="26"/>
        </w:rPr>
        <w:t>ste</w:t>
      </w:r>
      <w:r w:rsidRPr="0CCF8A85">
        <w:rPr>
          <w:rFonts w:eastAsia="Calibri"/>
          <w:szCs w:val="26"/>
        </w:rPr>
        <w:t xml:space="preserve"> ascendió a 153,</w:t>
      </w:r>
      <w:r>
        <w:rPr>
          <w:rFonts w:eastAsia="Calibri"/>
          <w:szCs w:val="26"/>
        </w:rPr>
        <w:t>03</w:t>
      </w:r>
      <w:r w:rsidRPr="0CCF8A85">
        <w:rPr>
          <w:rFonts w:eastAsia="Calibri"/>
          <w:szCs w:val="26"/>
        </w:rPr>
        <w:t xml:space="preserve"> millones</w:t>
      </w:r>
      <w:r w:rsidR="00E82F24">
        <w:rPr>
          <w:rFonts w:eastAsia="Calibri"/>
          <w:szCs w:val="26"/>
        </w:rPr>
        <w:t>,</w:t>
      </w:r>
      <w:r w:rsidRPr="0CCF8A85">
        <w:rPr>
          <w:rFonts w:eastAsia="Calibri"/>
          <w:szCs w:val="26"/>
        </w:rPr>
        <w:t xml:space="preserve"> cifra superior a la de 2022 en un </w:t>
      </w:r>
      <w:r>
        <w:rPr>
          <w:rFonts w:eastAsia="Calibri"/>
          <w:szCs w:val="26"/>
        </w:rPr>
        <w:t>46</w:t>
      </w:r>
      <w:r w:rsidRPr="0CCF8A85">
        <w:rPr>
          <w:rFonts w:eastAsia="Calibri"/>
          <w:szCs w:val="26"/>
        </w:rPr>
        <w:t xml:space="preserve"> por ciento. De nuevo la evolución está significativamente condicionada por el traspaso de la competencia de gestión del IMV a Navarra</w:t>
      </w:r>
      <w:r w:rsidR="001A2CB1">
        <w:rPr>
          <w:rFonts w:eastAsia="Calibri"/>
          <w:szCs w:val="26"/>
        </w:rPr>
        <w:t xml:space="preserve"> y por </w:t>
      </w:r>
      <w:r w:rsidR="00E82F24">
        <w:rPr>
          <w:rFonts w:eastAsia="Calibri"/>
          <w:szCs w:val="26"/>
        </w:rPr>
        <w:t xml:space="preserve">el </w:t>
      </w:r>
      <w:r w:rsidR="001A2CB1">
        <w:rPr>
          <w:rFonts w:eastAsia="Calibri"/>
          <w:szCs w:val="26"/>
        </w:rPr>
        <w:t xml:space="preserve">incremento del importe de ambas prestaciones derivado de su actualización. </w:t>
      </w:r>
    </w:p>
    <w:p w14:paraId="76DADCB6" w14:textId="044389CF" w:rsidR="00217666" w:rsidRDefault="00217666" w:rsidP="004F503F">
      <w:pPr>
        <w:pStyle w:val="atitulo2"/>
        <w:spacing w:before="240"/>
        <w:jc w:val="both"/>
      </w:pPr>
      <w:bookmarkStart w:id="17" w:name="_Toc187821047"/>
      <w:r>
        <w:t xml:space="preserve">2.2 </w:t>
      </w:r>
      <w:r w:rsidR="001260E5">
        <w:t>Revisión</w:t>
      </w:r>
      <w:r>
        <w:t xml:space="preserve"> de</w:t>
      </w:r>
      <w:r w:rsidR="001260E5">
        <w:t>l</w:t>
      </w:r>
      <w:r>
        <w:t xml:space="preserve"> cumplimiento de las obligaciones de las un</w:t>
      </w:r>
      <w:r w:rsidR="002E314C">
        <w:t xml:space="preserve">idades familiares perceptoras, </w:t>
      </w:r>
      <w:r w:rsidR="00801032">
        <w:t>de las administraciones públicas</w:t>
      </w:r>
      <w:r w:rsidR="002E314C">
        <w:t xml:space="preserve"> y</w:t>
      </w:r>
      <w:r w:rsidR="00801032">
        <w:t xml:space="preserve"> de los</w:t>
      </w:r>
      <w:r w:rsidR="002E314C">
        <w:t xml:space="preserve"> SSB</w:t>
      </w:r>
      <w:bookmarkEnd w:id="17"/>
    </w:p>
    <w:p w14:paraId="12C550BE" w14:textId="1BEE76E2" w:rsidR="00FE1F21" w:rsidRPr="00E41B03" w:rsidRDefault="000C24C5" w:rsidP="0019340C">
      <w:pPr>
        <w:pStyle w:val="atitulo3"/>
        <w:spacing w:before="240"/>
      </w:pPr>
      <w:r>
        <w:t xml:space="preserve">2.2.1 </w:t>
      </w:r>
      <w:r w:rsidR="00FE1F21" w:rsidRPr="0CCF8A85">
        <w:t>Obligaciones de las unidades familiares perceptoras</w:t>
      </w:r>
    </w:p>
    <w:p w14:paraId="344A622D" w14:textId="77777777" w:rsidR="00FE1F21" w:rsidRDefault="00FE1F21" w:rsidP="00A215EC">
      <w:pPr>
        <w:pStyle w:val="texto"/>
        <w:spacing w:after="140"/>
        <w:jc w:val="both"/>
        <w:rPr>
          <w:szCs w:val="26"/>
        </w:rPr>
      </w:pPr>
      <w:r w:rsidRPr="0CCF8A85">
        <w:rPr>
          <w:szCs w:val="26"/>
        </w:rPr>
        <w:t xml:space="preserve">El artículo 18 de la Ley Foral 15/2016 establece las obligaciones que las unidades familiares </w:t>
      </w:r>
      <w:r w:rsidRPr="00A215EC">
        <w:rPr>
          <w:lang w:val="es-ES_tradnl"/>
        </w:rPr>
        <w:t>perceptoras</w:t>
      </w:r>
      <w:r w:rsidRPr="0CCF8A85">
        <w:rPr>
          <w:szCs w:val="26"/>
        </w:rPr>
        <w:t xml:space="preserve"> de RG deben cumplir y que son: </w:t>
      </w:r>
    </w:p>
    <w:p w14:paraId="03A6329B" w14:textId="77777777" w:rsidR="00FE1F21" w:rsidRPr="005D0560" w:rsidRDefault="62A9032F" w:rsidP="001510D4">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i/>
          <w:iCs/>
          <w:szCs w:val="26"/>
        </w:rPr>
      </w:pPr>
      <w:r w:rsidRPr="005D0560">
        <w:rPr>
          <w:rFonts w:eastAsia="Calibri"/>
          <w:i/>
          <w:iCs/>
          <w:szCs w:val="26"/>
        </w:rPr>
        <w:t xml:space="preserve">Residir de forma efectiva y continuada en Navarra durante todo el periodo de percepción de la prestación. </w:t>
      </w:r>
    </w:p>
    <w:p w14:paraId="0AC1AFF5" w14:textId="72C6B348" w:rsidR="003D27D7" w:rsidRDefault="4934E9F9" w:rsidP="3896A6D9">
      <w:pPr>
        <w:pStyle w:val="texto"/>
        <w:spacing w:after="140"/>
        <w:jc w:val="both"/>
        <w:rPr>
          <w:rFonts w:eastAsia="Calibri"/>
        </w:rPr>
      </w:pPr>
      <w:r w:rsidRPr="005D0560">
        <w:rPr>
          <w:rFonts w:eastAsia="Calibri"/>
        </w:rPr>
        <w:t>El departamento controla si las personas beneficiarias residen de manera efectiva y continuada en Navarra</w:t>
      </w:r>
      <w:r w:rsidR="003D27D7" w:rsidRPr="005D0560">
        <w:rPr>
          <w:rFonts w:eastAsia="Calibri"/>
        </w:rPr>
        <w:t xml:space="preserve"> en el momento de concesión y renovación de la RG</w:t>
      </w:r>
      <w:r w:rsidR="005D0560">
        <w:rPr>
          <w:rFonts w:eastAsia="Calibri"/>
        </w:rPr>
        <w:t xml:space="preserve"> con los volantes de empadronamiento y de convivencia de la unidad familiar</w:t>
      </w:r>
      <w:r w:rsidR="003D27D7" w:rsidRPr="005D0560">
        <w:rPr>
          <w:rFonts w:eastAsia="Calibri"/>
        </w:rPr>
        <w:t>.</w:t>
      </w:r>
    </w:p>
    <w:p w14:paraId="00E1BAD9" w14:textId="43F86D5D" w:rsidR="4934E9F9" w:rsidRPr="00E94F74" w:rsidRDefault="003D27D7" w:rsidP="3896A6D9">
      <w:pPr>
        <w:pStyle w:val="texto"/>
        <w:spacing w:after="140"/>
        <w:jc w:val="both"/>
        <w:rPr>
          <w:rFonts w:eastAsia="Calibri"/>
        </w:rPr>
      </w:pPr>
      <w:r>
        <w:rPr>
          <w:rFonts w:eastAsia="Calibri"/>
        </w:rPr>
        <w:t>Sin embargo, en el control mensual que realiza</w:t>
      </w:r>
      <w:r w:rsidR="00F616CE">
        <w:rPr>
          <w:rFonts w:eastAsia="Calibri"/>
        </w:rPr>
        <w:t xml:space="preserve"> </w:t>
      </w:r>
      <w:r w:rsidR="005D0560">
        <w:rPr>
          <w:rFonts w:eastAsia="Calibri"/>
        </w:rPr>
        <w:t>el departamento no verifica este hecho</w:t>
      </w:r>
      <w:r w:rsidR="4934E9F9" w:rsidRPr="3896A6D9">
        <w:rPr>
          <w:rFonts w:eastAsia="Calibri"/>
        </w:rPr>
        <w:t xml:space="preserve">. </w:t>
      </w:r>
      <w:r w:rsidR="002E0C69">
        <w:rPr>
          <w:rFonts w:eastAsia="Calibri"/>
        </w:rPr>
        <w:t xml:space="preserve">El departamento ha llevado a cabo actuaciones para comprobar este requisito de manera automatizada para todos los perceptores, pero se han encontrado con trabas en la obtención de esta información debido a la aplicación de la normativa de protección de datos. </w:t>
      </w:r>
    </w:p>
    <w:p w14:paraId="4752B802" w14:textId="0785E599" w:rsidR="4934E9F9" w:rsidRDefault="002E0C69" w:rsidP="5D8B6717">
      <w:pPr>
        <w:pStyle w:val="Default"/>
        <w:spacing w:before="120" w:after="120"/>
        <w:ind w:firstLine="284"/>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Si bien esta Cámara entiende que los datos respecto a la unidad de convivencia incluyen datos de terceros, la </w:t>
      </w:r>
      <w:r w:rsidR="4934E9F9" w:rsidRPr="00EE505D">
        <w:rPr>
          <w:rFonts w:ascii="Times New Roman" w:eastAsia="Calibri" w:hAnsi="Times New Roman" w:cs="Times New Roman"/>
          <w:sz w:val="26"/>
          <w:szCs w:val="26"/>
        </w:rPr>
        <w:t xml:space="preserve">verificación del empadronamiento </w:t>
      </w:r>
      <w:r>
        <w:rPr>
          <w:rFonts w:ascii="Times New Roman" w:eastAsia="Calibri" w:hAnsi="Times New Roman" w:cs="Times New Roman"/>
          <w:sz w:val="26"/>
          <w:szCs w:val="26"/>
        </w:rPr>
        <w:t xml:space="preserve">sí que debiera ser posible dado que las </w:t>
      </w:r>
      <w:r w:rsidR="4934E9F9" w:rsidRPr="00EE505D">
        <w:rPr>
          <w:rFonts w:ascii="Times New Roman" w:eastAsia="Calibri" w:hAnsi="Times New Roman" w:cs="Times New Roman"/>
          <w:sz w:val="26"/>
          <w:szCs w:val="26"/>
        </w:rPr>
        <w:t>personas</w:t>
      </w:r>
      <w:r w:rsidR="00E82F24">
        <w:rPr>
          <w:rFonts w:ascii="Times New Roman" w:eastAsia="Calibri" w:hAnsi="Times New Roman" w:cs="Times New Roman"/>
          <w:sz w:val="26"/>
          <w:szCs w:val="26"/>
        </w:rPr>
        <w:t>,</w:t>
      </w:r>
      <w:r w:rsidR="4934E9F9" w:rsidRPr="00EE505D">
        <w:rPr>
          <w:rFonts w:ascii="Times New Roman" w:eastAsia="Calibri" w:hAnsi="Times New Roman" w:cs="Times New Roman"/>
          <w:sz w:val="26"/>
          <w:szCs w:val="26"/>
        </w:rPr>
        <w:t xml:space="preserve"> al realizar la solicitud de la RG</w:t>
      </w:r>
      <w:r>
        <w:rPr>
          <w:rFonts w:ascii="Times New Roman" w:eastAsia="Calibri" w:hAnsi="Times New Roman" w:cs="Times New Roman"/>
          <w:sz w:val="26"/>
          <w:szCs w:val="26"/>
        </w:rPr>
        <w:t>,</w:t>
      </w:r>
      <w:r w:rsidR="4934E9F9" w:rsidRPr="00EE505D">
        <w:rPr>
          <w:rFonts w:ascii="Times New Roman" w:eastAsia="Calibri" w:hAnsi="Times New Roman" w:cs="Times New Roman"/>
          <w:sz w:val="26"/>
          <w:szCs w:val="26"/>
        </w:rPr>
        <w:t xml:space="preserve"> autorizan a realizar todas las acciones necesarias para verificar a lo largo del tiempo el cumplimiento de los requisitos para cobrar esta prestación.</w:t>
      </w:r>
    </w:p>
    <w:p w14:paraId="142BFB7A" w14:textId="69D8A03B" w:rsidR="4934E9F9" w:rsidRPr="00EE505D" w:rsidRDefault="002E0C69" w:rsidP="00A215EC">
      <w:pPr>
        <w:pStyle w:val="texto"/>
        <w:spacing w:after="140"/>
        <w:jc w:val="both"/>
        <w:rPr>
          <w:rFonts w:eastAsia="Calibri"/>
          <w:szCs w:val="26"/>
        </w:rPr>
      </w:pPr>
      <w:r>
        <w:rPr>
          <w:rFonts w:eastAsia="Calibri"/>
          <w:szCs w:val="26"/>
        </w:rPr>
        <w:t>Dado que no se controla este requisito durante el periodo de percepción de la RG</w:t>
      </w:r>
      <w:r w:rsidR="4934E9F9" w:rsidRPr="00EE505D">
        <w:rPr>
          <w:rFonts w:eastAsia="Calibri"/>
          <w:szCs w:val="26"/>
        </w:rPr>
        <w:t>,</w:t>
      </w:r>
      <w:r>
        <w:rPr>
          <w:rFonts w:eastAsia="Calibri"/>
          <w:szCs w:val="26"/>
        </w:rPr>
        <w:t xml:space="preserve"> salvo en el momento de la concesión y renovación en su caso,</w:t>
      </w:r>
      <w:r w:rsidR="4934E9F9" w:rsidRPr="00EE505D">
        <w:rPr>
          <w:rFonts w:eastAsia="Calibri"/>
          <w:szCs w:val="26"/>
        </w:rPr>
        <w:t xml:space="preserve"> no </w:t>
      </w:r>
      <w:r w:rsidR="4934E9F9" w:rsidRPr="00A215EC">
        <w:rPr>
          <w:lang w:val="es-ES_tradnl"/>
        </w:rPr>
        <w:t>podemos</w:t>
      </w:r>
      <w:r w:rsidR="4934E9F9" w:rsidRPr="00EE505D">
        <w:rPr>
          <w:rFonts w:eastAsia="Calibri"/>
          <w:szCs w:val="26"/>
        </w:rPr>
        <w:t xml:space="preserve"> pronunciarnos sobre el cumplimiento de esta obligación de las unidades familiares perceptoras. </w:t>
      </w:r>
    </w:p>
    <w:p w14:paraId="6416180D" w14:textId="77777777" w:rsidR="00BD4E42" w:rsidRPr="00E94F74" w:rsidRDefault="62A9032F" w:rsidP="00C216A5">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i/>
          <w:iCs/>
          <w:szCs w:val="26"/>
        </w:rPr>
      </w:pPr>
      <w:r w:rsidRPr="00E94F74">
        <w:rPr>
          <w:rFonts w:eastAsia="Calibri"/>
          <w:i/>
          <w:iCs/>
          <w:szCs w:val="26"/>
        </w:rPr>
        <w:t xml:space="preserve">Solicitar, durante todo el periodo de percepción de la prestación, todo derecho a prestación de contenido económico que pudiera corresponder tanto a la persona solicitante como a cualquiera de los miembros de la unidad familiar. </w:t>
      </w:r>
    </w:p>
    <w:p w14:paraId="3DC1C652" w14:textId="43947179" w:rsidR="57347BE8" w:rsidRDefault="57347BE8" w:rsidP="00A215EC">
      <w:pPr>
        <w:pStyle w:val="texto"/>
        <w:spacing w:after="140"/>
        <w:jc w:val="both"/>
        <w:rPr>
          <w:rFonts w:ascii="Arial Narrow" w:hAnsi="Arial Narrow"/>
          <w:sz w:val="19"/>
          <w:szCs w:val="19"/>
        </w:rPr>
      </w:pPr>
      <w:r w:rsidRPr="3896A6D9">
        <w:rPr>
          <w:rFonts w:eastAsia="Calibri"/>
        </w:rPr>
        <w:t xml:space="preserve">No podemos pronunciarnos sobre esta obligación </w:t>
      </w:r>
      <w:r w:rsidR="6EF65C05" w:rsidRPr="3896A6D9">
        <w:rPr>
          <w:rFonts w:eastAsia="Calibri"/>
        </w:rPr>
        <w:t xml:space="preserve">debido </w:t>
      </w:r>
      <w:r w:rsidRPr="3896A6D9">
        <w:rPr>
          <w:rFonts w:eastAsia="Calibri"/>
        </w:rPr>
        <w:t xml:space="preserve">fundamentalmente </w:t>
      </w:r>
      <w:r w:rsidR="6EF65C05" w:rsidRPr="3896A6D9">
        <w:rPr>
          <w:rFonts w:eastAsia="Calibri"/>
        </w:rPr>
        <w:t>a</w:t>
      </w:r>
      <w:r w:rsidRPr="3896A6D9">
        <w:rPr>
          <w:rFonts w:eastAsia="Calibri"/>
        </w:rPr>
        <w:t xml:space="preserve"> que no hemos podido </w:t>
      </w:r>
      <w:r w:rsidRPr="3896A6D9">
        <w:t>obtener</w:t>
      </w:r>
      <w:r w:rsidRPr="3896A6D9">
        <w:rPr>
          <w:rFonts w:eastAsia="Calibri"/>
        </w:rPr>
        <w:t xml:space="preserve"> evidencia de que todas las personas que debieran haber solicitado</w:t>
      </w:r>
      <w:r w:rsidR="6EF65C05" w:rsidRPr="3896A6D9">
        <w:rPr>
          <w:rFonts w:eastAsia="Calibri"/>
        </w:rPr>
        <w:t xml:space="preserve"> el IMV en el periodo objeto de fiscalización</w:t>
      </w:r>
      <w:r w:rsidRPr="3896A6D9">
        <w:rPr>
          <w:rFonts w:eastAsia="Calibri"/>
        </w:rPr>
        <w:t xml:space="preserve"> lo hayan </w:t>
      </w:r>
      <w:r w:rsidR="00EE505D" w:rsidRPr="3896A6D9">
        <w:rPr>
          <w:rFonts w:eastAsia="Calibri"/>
        </w:rPr>
        <w:t>hecho</w:t>
      </w:r>
      <w:r w:rsidR="002E0C69">
        <w:rPr>
          <w:rFonts w:eastAsia="Calibri"/>
        </w:rPr>
        <w:t xml:space="preserve">. La razón es que </w:t>
      </w:r>
      <w:r w:rsidR="6CC9CE4B" w:rsidRPr="3896A6D9">
        <w:rPr>
          <w:rFonts w:eastAsia="Calibri"/>
        </w:rPr>
        <w:t xml:space="preserve">en SIPSS los datos de </w:t>
      </w:r>
      <w:r w:rsidR="62BCEB49" w:rsidRPr="3896A6D9">
        <w:rPr>
          <w:rFonts w:eastAsia="Calibri"/>
        </w:rPr>
        <w:t xml:space="preserve">las unidades familiares o de convivencia son </w:t>
      </w:r>
      <w:r w:rsidR="672D75A0" w:rsidRPr="3896A6D9">
        <w:rPr>
          <w:rFonts w:eastAsia="Calibri"/>
        </w:rPr>
        <w:lastRenderedPageBreak/>
        <w:t xml:space="preserve">los más recientes sin </w:t>
      </w:r>
      <w:r w:rsidR="274319D6" w:rsidRPr="3896A6D9">
        <w:rPr>
          <w:rFonts w:eastAsia="Calibri"/>
        </w:rPr>
        <w:t xml:space="preserve">constar </w:t>
      </w:r>
      <w:r w:rsidR="002E0C69">
        <w:rPr>
          <w:rFonts w:eastAsia="Calibri"/>
        </w:rPr>
        <w:t>un</w:t>
      </w:r>
      <w:r w:rsidR="274319D6" w:rsidRPr="3896A6D9">
        <w:rPr>
          <w:rFonts w:eastAsia="Calibri"/>
        </w:rPr>
        <w:t xml:space="preserve"> histórico</w:t>
      </w:r>
      <w:r w:rsidR="002E0C69">
        <w:rPr>
          <w:rFonts w:eastAsia="Calibri"/>
        </w:rPr>
        <w:t xml:space="preserve"> que permita explotar los datos de manera automatizada</w:t>
      </w:r>
      <w:r w:rsidR="274319D6" w:rsidRPr="3896A6D9">
        <w:rPr>
          <w:rFonts w:eastAsia="Calibri"/>
        </w:rPr>
        <w:t xml:space="preserve">, </w:t>
      </w:r>
      <w:r w:rsidR="62BCEB49" w:rsidRPr="3896A6D9">
        <w:rPr>
          <w:rFonts w:eastAsia="Calibri"/>
        </w:rPr>
        <w:t>lo que impide verificar dicha información a posteriori</w:t>
      </w:r>
      <w:r w:rsidR="002E0C69">
        <w:rPr>
          <w:rFonts w:eastAsia="Calibri"/>
        </w:rPr>
        <w:t>, teniendo que analizarse en todo caso manualmente.</w:t>
      </w:r>
    </w:p>
    <w:p w14:paraId="62911F3E" w14:textId="625C142A" w:rsidR="00AB0B94" w:rsidRPr="00E94F74" w:rsidRDefault="62A9032F" w:rsidP="001510D4">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i/>
          <w:iCs/>
          <w:szCs w:val="26"/>
        </w:rPr>
      </w:pPr>
      <w:r w:rsidRPr="00E94F74">
        <w:rPr>
          <w:rFonts w:eastAsia="Calibri"/>
          <w:i/>
          <w:iCs/>
          <w:szCs w:val="26"/>
        </w:rPr>
        <w:t xml:space="preserve">Mantenerse, todas las personas perceptoras en edad laboral, disponibles para las ofertas de empleo adecuado, aceptándolas cuando se produzcan, salvo cuando se trate de personas que, a juicio de los </w:t>
      </w:r>
      <w:r w:rsidR="006B40D8">
        <w:rPr>
          <w:rFonts w:eastAsia="Calibri"/>
          <w:i/>
          <w:iCs/>
          <w:szCs w:val="26"/>
        </w:rPr>
        <w:t>SSB</w:t>
      </w:r>
      <w:r w:rsidRPr="00E94F74">
        <w:rPr>
          <w:rFonts w:eastAsia="Calibri"/>
          <w:i/>
          <w:iCs/>
          <w:szCs w:val="26"/>
        </w:rPr>
        <w:t xml:space="preserve">, no se encuentren en situación de incorporarse al mercado laboral ni a un empleo protegido. Las personas antes referidas deberán estar inscritas como demandantes de empleo en las oficinas del </w:t>
      </w:r>
      <w:r w:rsidR="006B40D8">
        <w:rPr>
          <w:rFonts w:eastAsia="Calibri"/>
          <w:i/>
          <w:iCs/>
          <w:szCs w:val="26"/>
        </w:rPr>
        <w:t>SNE</w:t>
      </w:r>
      <w:r w:rsidRPr="00E94F74">
        <w:rPr>
          <w:rFonts w:eastAsia="Calibri"/>
          <w:i/>
          <w:iCs/>
          <w:szCs w:val="26"/>
        </w:rPr>
        <w:t xml:space="preserve">, salvo aquellas que se encuentren en situación administrativa irregular. </w:t>
      </w:r>
    </w:p>
    <w:p w14:paraId="16FB1878" w14:textId="167DDA1D" w:rsidR="00BD4E42" w:rsidRDefault="00EE505D" w:rsidP="00A215EC">
      <w:pPr>
        <w:pStyle w:val="texto"/>
        <w:spacing w:after="140"/>
        <w:jc w:val="both"/>
        <w:rPr>
          <w:rFonts w:eastAsia="Calibri"/>
          <w:szCs w:val="26"/>
        </w:rPr>
      </w:pPr>
      <w:r>
        <w:rPr>
          <w:rFonts w:eastAsia="Calibri"/>
          <w:szCs w:val="26"/>
        </w:rPr>
        <w:t>Hemos revisado el cumplimiento de este apartado analizando las dos obligaciones que contiene</w:t>
      </w:r>
      <w:r w:rsidR="7441A2F6" w:rsidRPr="5D8B6717">
        <w:rPr>
          <w:rFonts w:eastAsia="Calibri"/>
          <w:szCs w:val="26"/>
        </w:rPr>
        <w:t>:</w:t>
      </w:r>
      <w:r>
        <w:rPr>
          <w:rFonts w:eastAsia="Calibri"/>
          <w:szCs w:val="26"/>
        </w:rPr>
        <w:t xml:space="preserve"> </w:t>
      </w:r>
    </w:p>
    <w:p w14:paraId="4266EA98" w14:textId="77777777" w:rsidR="00BD4E42" w:rsidRDefault="00BD4E42" w:rsidP="00C216A5">
      <w:pPr>
        <w:pStyle w:val="Default"/>
        <w:numPr>
          <w:ilvl w:val="0"/>
          <w:numId w:val="48"/>
        </w:numPr>
        <w:tabs>
          <w:tab w:val="left" w:pos="567"/>
        </w:tabs>
        <w:spacing w:before="120" w:after="120"/>
        <w:ind w:left="0" w:firstLine="284"/>
        <w:jc w:val="both"/>
        <w:rPr>
          <w:rFonts w:ascii="Times New Roman" w:eastAsia="Calibri" w:hAnsi="Times New Roman" w:cs="Times New Roman"/>
          <w:sz w:val="26"/>
          <w:szCs w:val="26"/>
          <w:lang w:val="es-ES_tradnl"/>
        </w:rPr>
      </w:pPr>
      <w:r>
        <w:rPr>
          <w:rFonts w:ascii="Times New Roman" w:eastAsia="Calibri" w:hAnsi="Times New Roman" w:cs="Times New Roman"/>
          <w:sz w:val="26"/>
          <w:szCs w:val="26"/>
          <w:lang w:val="es-ES_tradnl"/>
        </w:rPr>
        <w:t>Mantenerse disponible para el empleo salvo que se den circunstancias que justifiquen lo contrario:</w:t>
      </w:r>
    </w:p>
    <w:p w14:paraId="6A850315" w14:textId="71504752" w:rsidR="00BD4E42" w:rsidRDefault="00BD4E42" w:rsidP="3896A6D9">
      <w:pPr>
        <w:pStyle w:val="texto"/>
        <w:spacing w:after="140"/>
        <w:jc w:val="both"/>
        <w:rPr>
          <w:rFonts w:eastAsia="Calibri"/>
        </w:rPr>
      </w:pPr>
      <w:r w:rsidRPr="3896A6D9">
        <w:rPr>
          <w:rFonts w:eastAsia="Calibri"/>
        </w:rPr>
        <w:t>Hemos analizado el control que realiza el departamento sobre la obligación de las personas perceptoras de mantenerse disponibles para el empleo mientras son beneficiarias de RG. En concreto</w:t>
      </w:r>
      <w:r w:rsidR="43F0338E" w:rsidRPr="3896A6D9">
        <w:rPr>
          <w:rFonts w:eastAsia="Calibri"/>
        </w:rPr>
        <w:t>,</w:t>
      </w:r>
      <w:r w:rsidRPr="3896A6D9">
        <w:rPr>
          <w:rFonts w:eastAsia="Calibri"/>
        </w:rPr>
        <w:t xml:space="preserve"> revisamos el realizado para el mes de octubre de 2023 </w:t>
      </w:r>
      <w:r w:rsidR="00CC73CA" w:rsidRPr="3896A6D9">
        <w:rPr>
          <w:rFonts w:eastAsia="Calibri"/>
        </w:rPr>
        <w:t>obteniendo las siguientes conclusiones:</w:t>
      </w:r>
      <w:r w:rsidRPr="3896A6D9">
        <w:rPr>
          <w:rFonts w:eastAsia="Calibri"/>
        </w:rPr>
        <w:t xml:space="preserve"> </w:t>
      </w:r>
    </w:p>
    <w:p w14:paraId="623AE1F6" w14:textId="4C4712BB" w:rsidR="00CC73CA" w:rsidRDefault="009E43FD" w:rsidP="3896A6D9">
      <w:pPr>
        <w:pStyle w:val="texto"/>
        <w:spacing w:after="140"/>
        <w:jc w:val="both"/>
        <w:rPr>
          <w:rFonts w:eastAsia="Calibri"/>
        </w:rPr>
      </w:pPr>
      <w:r>
        <w:rPr>
          <w:rFonts w:eastAsia="Calibri"/>
        </w:rPr>
        <w:t xml:space="preserve">Las personas beneficiarias </w:t>
      </w:r>
      <w:r w:rsidR="00CC73CA" w:rsidRPr="3896A6D9">
        <w:rPr>
          <w:rFonts w:eastAsia="Calibri"/>
        </w:rPr>
        <w:t>sobre las que realiz</w:t>
      </w:r>
      <w:r w:rsidR="5D96CC75" w:rsidRPr="3896A6D9">
        <w:rPr>
          <w:rFonts w:eastAsia="Calibri"/>
        </w:rPr>
        <w:t>ó</w:t>
      </w:r>
      <w:r w:rsidR="00CC73CA" w:rsidRPr="3896A6D9">
        <w:rPr>
          <w:rFonts w:eastAsia="Calibri"/>
        </w:rPr>
        <w:t xml:space="preserve"> este control fueron las adecuadas</w:t>
      </w:r>
      <w:r w:rsidR="59D6D53E" w:rsidRPr="3896A6D9">
        <w:rPr>
          <w:rFonts w:eastAsia="Calibri"/>
        </w:rPr>
        <w:t xml:space="preserve"> considerando su edad para poder trabajar</w:t>
      </w:r>
      <w:r w:rsidR="00CC73CA" w:rsidRPr="3896A6D9">
        <w:rPr>
          <w:rFonts w:eastAsia="Calibri"/>
        </w:rPr>
        <w:t>.</w:t>
      </w:r>
    </w:p>
    <w:p w14:paraId="46B5A7FF" w14:textId="0AE24567" w:rsidR="00EA1D67" w:rsidRDefault="00EA1D67" w:rsidP="3896A6D9">
      <w:pPr>
        <w:pStyle w:val="texto"/>
        <w:spacing w:after="140"/>
        <w:jc w:val="both"/>
        <w:rPr>
          <w:rFonts w:eastAsia="Calibri"/>
        </w:rPr>
      </w:pPr>
      <w:r w:rsidRPr="3896A6D9">
        <w:rPr>
          <w:rFonts w:eastAsia="Calibri"/>
        </w:rPr>
        <w:t>El departamento cruza el Documento Nacional de Identidad (DNI en adelante)</w:t>
      </w:r>
      <w:r w:rsidR="00F15E44" w:rsidRPr="3896A6D9">
        <w:rPr>
          <w:rFonts w:eastAsia="Calibri"/>
        </w:rPr>
        <w:t xml:space="preserve"> o Número de Identidad Extra</w:t>
      </w:r>
      <w:r w:rsidR="00297CB2">
        <w:rPr>
          <w:rFonts w:eastAsia="Calibri"/>
        </w:rPr>
        <w:t>n</w:t>
      </w:r>
      <w:r w:rsidR="00F15E44" w:rsidRPr="3896A6D9">
        <w:rPr>
          <w:rFonts w:eastAsia="Calibri"/>
        </w:rPr>
        <w:t>jero en su caso (NIE)</w:t>
      </w:r>
      <w:r w:rsidRPr="3896A6D9">
        <w:rPr>
          <w:rFonts w:eastAsia="Calibri"/>
        </w:rPr>
        <w:t xml:space="preserve"> de </w:t>
      </w:r>
      <w:r w:rsidRPr="3896A6D9">
        <w:t>estas</w:t>
      </w:r>
      <w:r w:rsidRPr="3896A6D9">
        <w:rPr>
          <w:rFonts w:eastAsia="Calibri"/>
        </w:rPr>
        <w:t xml:space="preserve"> personas con la información que consta en el Servicio Navarro de Empleo (SNE en adelante) sobre las </w:t>
      </w:r>
      <w:r w:rsidR="00CC73CA" w:rsidRPr="3896A6D9">
        <w:rPr>
          <w:rFonts w:eastAsia="Calibri"/>
        </w:rPr>
        <w:t xml:space="preserve">distintas situaciones en las que se pueden encontrar (alta por inscripción, alta por reactivación de la suspensión, baja por alta en el régimen de la Seguridad Social, suspensión sin intermediación por salida al extranjero, etc.) </w:t>
      </w:r>
      <w:r w:rsidRPr="3896A6D9">
        <w:rPr>
          <w:rFonts w:eastAsia="Calibri"/>
        </w:rPr>
        <w:t xml:space="preserve">y con la de la Seguridad Social para constatar si está dada de alta o no. </w:t>
      </w:r>
    </w:p>
    <w:p w14:paraId="54BE1FEA" w14:textId="77777777" w:rsidR="00682852" w:rsidRDefault="00EA1D67" w:rsidP="00A215EC">
      <w:pPr>
        <w:pStyle w:val="texto"/>
        <w:spacing w:after="140"/>
        <w:jc w:val="both"/>
        <w:rPr>
          <w:rFonts w:eastAsia="Calibri"/>
          <w:szCs w:val="26"/>
        </w:rPr>
      </w:pPr>
      <w:r>
        <w:rPr>
          <w:rFonts w:eastAsia="Calibri"/>
          <w:szCs w:val="26"/>
        </w:rPr>
        <w:t xml:space="preserve">La respuesta recibida del SNE se </w:t>
      </w:r>
      <w:r w:rsidR="00CC73CA">
        <w:rPr>
          <w:rFonts w:eastAsia="Calibri"/>
          <w:szCs w:val="26"/>
        </w:rPr>
        <w:t>categoriza</w:t>
      </w:r>
      <w:r w:rsidR="00682852">
        <w:rPr>
          <w:rFonts w:eastAsia="Calibri"/>
          <w:szCs w:val="26"/>
        </w:rPr>
        <w:t xml:space="preserve"> con un código. El departamento tiene predefinidos unos códigos que</w:t>
      </w:r>
      <w:r w:rsidR="00750EC5">
        <w:rPr>
          <w:rFonts w:eastAsia="Calibri"/>
          <w:szCs w:val="26"/>
        </w:rPr>
        <w:t>,</w:t>
      </w:r>
      <w:r w:rsidR="00682852">
        <w:rPr>
          <w:rFonts w:eastAsia="Calibri"/>
          <w:szCs w:val="26"/>
        </w:rPr>
        <w:t xml:space="preserve"> en caso de aparecer</w:t>
      </w:r>
      <w:r w:rsidR="00750EC5">
        <w:rPr>
          <w:rFonts w:eastAsia="Calibri"/>
          <w:szCs w:val="26"/>
        </w:rPr>
        <w:t>,</w:t>
      </w:r>
      <w:r w:rsidR="00682852">
        <w:rPr>
          <w:rFonts w:eastAsia="Calibri"/>
          <w:szCs w:val="26"/>
        </w:rPr>
        <w:t xml:space="preserve"> deben ser </w:t>
      </w:r>
      <w:r w:rsidR="00682852" w:rsidRPr="00A215EC">
        <w:rPr>
          <w:lang w:val="es-ES_tradnl"/>
        </w:rPr>
        <w:t>objeto</w:t>
      </w:r>
      <w:r w:rsidR="00682852">
        <w:rPr>
          <w:rFonts w:eastAsia="Calibri"/>
          <w:szCs w:val="26"/>
        </w:rPr>
        <w:t xml:space="preserve"> de control por parte del personal de la sección previa generación de una alerta en el SIPSS.</w:t>
      </w:r>
    </w:p>
    <w:p w14:paraId="48E494DF" w14:textId="77777777" w:rsidR="00E2587E" w:rsidRDefault="00E2587E" w:rsidP="00A215EC">
      <w:pPr>
        <w:pStyle w:val="texto"/>
        <w:spacing w:after="140"/>
        <w:jc w:val="both"/>
        <w:rPr>
          <w:rFonts w:eastAsia="Calibri"/>
          <w:szCs w:val="26"/>
        </w:rPr>
      </w:pPr>
      <w:r>
        <w:rPr>
          <w:rFonts w:eastAsia="Calibri"/>
          <w:szCs w:val="26"/>
        </w:rPr>
        <w:t xml:space="preserve">Hemos constatado que el control llevado a cabo no </w:t>
      </w:r>
      <w:r w:rsidR="00CC73CA">
        <w:rPr>
          <w:rFonts w:eastAsia="Calibri"/>
          <w:szCs w:val="26"/>
        </w:rPr>
        <w:t>fue</w:t>
      </w:r>
      <w:r>
        <w:rPr>
          <w:rFonts w:eastAsia="Calibri"/>
          <w:szCs w:val="26"/>
        </w:rPr>
        <w:t xml:space="preserve"> efectivo por los siguientes </w:t>
      </w:r>
      <w:r w:rsidRPr="00A215EC">
        <w:rPr>
          <w:lang w:val="es-ES_tradnl"/>
        </w:rPr>
        <w:t>motivos</w:t>
      </w:r>
      <w:r>
        <w:rPr>
          <w:rFonts w:eastAsia="Calibri"/>
          <w:szCs w:val="26"/>
        </w:rPr>
        <w:t>:</w:t>
      </w:r>
    </w:p>
    <w:p w14:paraId="11D9B78F" w14:textId="77777777" w:rsidR="00E2587E" w:rsidRDefault="00E2587E" w:rsidP="009E43FD">
      <w:pPr>
        <w:pStyle w:val="Default"/>
        <w:numPr>
          <w:ilvl w:val="1"/>
          <w:numId w:val="42"/>
        </w:numPr>
        <w:tabs>
          <w:tab w:val="left" w:pos="567"/>
        </w:tabs>
        <w:spacing w:before="120" w:after="120"/>
        <w:ind w:left="284" w:firstLine="0"/>
        <w:jc w:val="both"/>
        <w:rPr>
          <w:rFonts w:ascii="Times New Roman" w:eastAsia="Calibri" w:hAnsi="Times New Roman" w:cs="Times New Roman"/>
          <w:sz w:val="26"/>
          <w:szCs w:val="26"/>
        </w:rPr>
      </w:pPr>
      <w:r>
        <w:rPr>
          <w:rFonts w:ascii="Times New Roman" w:eastAsia="Calibri" w:hAnsi="Times New Roman" w:cs="Times New Roman"/>
          <w:sz w:val="26"/>
          <w:szCs w:val="26"/>
        </w:rPr>
        <w:t>E</w:t>
      </w:r>
      <w:r w:rsidR="00CC73CA">
        <w:rPr>
          <w:rFonts w:ascii="Times New Roman" w:eastAsia="Calibri" w:hAnsi="Times New Roman" w:cs="Times New Roman"/>
          <w:sz w:val="26"/>
          <w:szCs w:val="26"/>
        </w:rPr>
        <w:t>l cruce realizado devolvió</w:t>
      </w:r>
      <w:r w:rsidR="00BD4E42">
        <w:rPr>
          <w:rFonts w:ascii="Times New Roman" w:eastAsia="Calibri" w:hAnsi="Times New Roman" w:cs="Times New Roman"/>
          <w:sz w:val="26"/>
          <w:szCs w:val="26"/>
        </w:rPr>
        <w:t xml:space="preserve"> un campo en blanco para el 21 por ciento de las personas al no </w:t>
      </w:r>
      <w:r w:rsidR="00750EC5">
        <w:rPr>
          <w:rFonts w:ascii="Times New Roman" w:eastAsia="Calibri" w:hAnsi="Times New Roman" w:cs="Times New Roman"/>
          <w:sz w:val="26"/>
          <w:szCs w:val="26"/>
        </w:rPr>
        <w:t>encontrar el DNI en las bases de datos del SNE</w:t>
      </w:r>
      <w:r w:rsidR="00CC73CA">
        <w:rPr>
          <w:rFonts w:ascii="Times New Roman" w:eastAsia="Calibri" w:hAnsi="Times New Roman" w:cs="Times New Roman"/>
          <w:sz w:val="26"/>
          <w:szCs w:val="26"/>
        </w:rPr>
        <w:t>. Este hecho supuso</w:t>
      </w:r>
      <w:r w:rsidR="00BD4E42">
        <w:rPr>
          <w:rFonts w:ascii="Times New Roman" w:eastAsia="Calibri" w:hAnsi="Times New Roman" w:cs="Times New Roman"/>
          <w:sz w:val="26"/>
          <w:szCs w:val="26"/>
        </w:rPr>
        <w:t xml:space="preserve"> que</w:t>
      </w:r>
      <w:r w:rsidR="00750EC5">
        <w:rPr>
          <w:rFonts w:ascii="Times New Roman" w:eastAsia="Calibri" w:hAnsi="Times New Roman" w:cs="Times New Roman"/>
          <w:sz w:val="26"/>
          <w:szCs w:val="26"/>
        </w:rPr>
        <w:t xml:space="preserve"> no se controla</w:t>
      </w:r>
      <w:r w:rsidR="00CC73CA">
        <w:rPr>
          <w:rFonts w:ascii="Times New Roman" w:eastAsia="Calibri" w:hAnsi="Times New Roman" w:cs="Times New Roman"/>
          <w:sz w:val="26"/>
          <w:szCs w:val="26"/>
        </w:rPr>
        <w:t>ra</w:t>
      </w:r>
      <w:r w:rsidR="00750EC5">
        <w:rPr>
          <w:rFonts w:ascii="Times New Roman" w:eastAsia="Calibri" w:hAnsi="Times New Roman" w:cs="Times New Roman"/>
          <w:sz w:val="26"/>
          <w:szCs w:val="26"/>
        </w:rPr>
        <w:t xml:space="preserve"> si</w:t>
      </w:r>
      <w:r w:rsidR="00BD4E42">
        <w:rPr>
          <w:rFonts w:ascii="Times New Roman" w:eastAsia="Calibri" w:hAnsi="Times New Roman" w:cs="Times New Roman"/>
          <w:sz w:val="26"/>
          <w:szCs w:val="26"/>
        </w:rPr>
        <w:t xml:space="preserve"> estas personas </w:t>
      </w:r>
      <w:r w:rsidR="00CC73CA">
        <w:rPr>
          <w:rFonts w:ascii="Times New Roman" w:eastAsia="Calibri" w:hAnsi="Times New Roman" w:cs="Times New Roman"/>
          <w:sz w:val="26"/>
          <w:szCs w:val="26"/>
        </w:rPr>
        <w:t>estaban</w:t>
      </w:r>
      <w:r w:rsidR="00BD4E42">
        <w:rPr>
          <w:rFonts w:ascii="Times New Roman" w:eastAsia="Calibri" w:hAnsi="Times New Roman" w:cs="Times New Roman"/>
          <w:sz w:val="26"/>
          <w:szCs w:val="26"/>
        </w:rPr>
        <w:t xml:space="preserve"> dadas de alta o no como demandantes de empleo</w:t>
      </w:r>
      <w:r w:rsidR="00750EC5">
        <w:rPr>
          <w:rFonts w:ascii="Times New Roman" w:eastAsia="Calibri" w:hAnsi="Times New Roman" w:cs="Times New Roman"/>
          <w:sz w:val="26"/>
          <w:szCs w:val="26"/>
        </w:rPr>
        <w:t>, a pesar de que la Seguridad Social i</w:t>
      </w:r>
      <w:r w:rsidR="00CC73CA">
        <w:rPr>
          <w:rFonts w:ascii="Times New Roman" w:eastAsia="Calibri" w:hAnsi="Times New Roman" w:cs="Times New Roman"/>
          <w:sz w:val="26"/>
          <w:szCs w:val="26"/>
        </w:rPr>
        <w:t>nformó</w:t>
      </w:r>
      <w:r w:rsidR="00750EC5">
        <w:rPr>
          <w:rFonts w:ascii="Times New Roman" w:eastAsia="Calibri" w:hAnsi="Times New Roman" w:cs="Times New Roman"/>
          <w:sz w:val="26"/>
          <w:szCs w:val="26"/>
        </w:rPr>
        <w:t xml:space="preserve"> que no est</w:t>
      </w:r>
      <w:r w:rsidR="00CC73CA">
        <w:rPr>
          <w:rFonts w:ascii="Times New Roman" w:eastAsia="Calibri" w:hAnsi="Times New Roman" w:cs="Times New Roman"/>
          <w:sz w:val="26"/>
          <w:szCs w:val="26"/>
        </w:rPr>
        <w:t>aban</w:t>
      </w:r>
      <w:r w:rsidR="00750EC5">
        <w:rPr>
          <w:rFonts w:ascii="Times New Roman" w:eastAsia="Calibri" w:hAnsi="Times New Roman" w:cs="Times New Roman"/>
          <w:sz w:val="26"/>
          <w:szCs w:val="26"/>
        </w:rPr>
        <w:t xml:space="preserve"> trabajando</w:t>
      </w:r>
      <w:r w:rsidR="00BD4E42">
        <w:rPr>
          <w:rFonts w:ascii="Times New Roman" w:eastAsia="Calibri" w:hAnsi="Times New Roman" w:cs="Times New Roman"/>
          <w:sz w:val="26"/>
          <w:szCs w:val="26"/>
        </w:rPr>
        <w:t>.</w:t>
      </w:r>
    </w:p>
    <w:p w14:paraId="49BFC233" w14:textId="4AF24E89" w:rsidR="0053095F" w:rsidRDefault="0053095F" w:rsidP="009E43FD">
      <w:pPr>
        <w:pStyle w:val="texto"/>
        <w:numPr>
          <w:ilvl w:val="1"/>
          <w:numId w:val="42"/>
        </w:numPr>
        <w:tabs>
          <w:tab w:val="left" w:pos="567"/>
        </w:tabs>
        <w:spacing w:before="120" w:after="120"/>
        <w:ind w:left="284" w:firstLine="0"/>
        <w:jc w:val="both"/>
        <w:rPr>
          <w:rFonts w:eastAsia="Calibri"/>
        </w:rPr>
      </w:pPr>
      <w:r w:rsidRPr="3896A6D9">
        <w:rPr>
          <w:rFonts w:eastAsia="Calibri"/>
        </w:rPr>
        <w:t xml:space="preserve">Durante 2023, se incorporaron un total de 1.244 avisos para que fueran revisados en SIPSS. Sin embargo, los correspondientes a cinco meses del año, entre los que se encuentra octubre, no fueron incorporados. </w:t>
      </w:r>
    </w:p>
    <w:p w14:paraId="4F5629BB" w14:textId="23DEB04E" w:rsidR="001D3F60" w:rsidRDefault="001D3F60" w:rsidP="00A215EC">
      <w:pPr>
        <w:pStyle w:val="texto"/>
        <w:spacing w:after="140"/>
        <w:jc w:val="both"/>
        <w:rPr>
          <w:rFonts w:eastAsia="Calibri"/>
          <w:szCs w:val="26"/>
        </w:rPr>
      </w:pPr>
      <w:r>
        <w:rPr>
          <w:rFonts w:eastAsia="Calibri"/>
          <w:szCs w:val="26"/>
        </w:rPr>
        <w:lastRenderedPageBreak/>
        <w:t>Por otro lado, según la información de SIPSS, en el periodo objeto de fiscalización 1.</w:t>
      </w:r>
      <w:r w:rsidRPr="00A215EC">
        <w:rPr>
          <w:lang w:val="es-ES_tradnl"/>
        </w:rPr>
        <w:t>266</w:t>
      </w:r>
      <w:r>
        <w:rPr>
          <w:rFonts w:eastAsia="Calibri"/>
          <w:szCs w:val="26"/>
        </w:rPr>
        <w:t xml:space="preserve"> expedientes se dieron de baja antes de la fecha prevista de fin de concesión por incumplir esta obligación de mantenerse disponible para el empleo. </w:t>
      </w:r>
    </w:p>
    <w:p w14:paraId="590825D5" w14:textId="7162B0BF" w:rsidR="009E43FD" w:rsidRDefault="6A474552" w:rsidP="3896A6D9">
      <w:pPr>
        <w:pStyle w:val="texto"/>
        <w:spacing w:after="140"/>
        <w:jc w:val="both"/>
        <w:rPr>
          <w:rFonts w:eastAsia="Calibri"/>
        </w:rPr>
      </w:pPr>
      <w:r w:rsidRPr="3896A6D9">
        <w:rPr>
          <w:rFonts w:eastAsia="Calibri"/>
        </w:rPr>
        <w:t>Por todo lo anterior</w:t>
      </w:r>
      <w:r w:rsidR="3E2BC33E" w:rsidRPr="3896A6D9">
        <w:rPr>
          <w:rFonts w:eastAsia="Calibri"/>
        </w:rPr>
        <w:t xml:space="preserve"> entendemos que n</w:t>
      </w:r>
      <w:r w:rsidR="001D3F60" w:rsidRPr="3896A6D9">
        <w:rPr>
          <w:rFonts w:eastAsia="Calibri"/>
        </w:rPr>
        <w:t xml:space="preserve">o se está cumpliendo con esta obligación </w:t>
      </w:r>
      <w:r w:rsidR="001D3F60" w:rsidRPr="3896A6D9">
        <w:t>en</w:t>
      </w:r>
      <w:r w:rsidR="001D3F60" w:rsidRPr="3896A6D9">
        <w:rPr>
          <w:rFonts w:eastAsia="Calibri"/>
        </w:rPr>
        <w:t xml:space="preserve"> todos los casos, habiendo </w:t>
      </w:r>
      <w:r w:rsidR="000951AF" w:rsidRPr="3896A6D9">
        <w:rPr>
          <w:rFonts w:eastAsia="Calibri"/>
        </w:rPr>
        <w:t>constatado,</w:t>
      </w:r>
      <w:r w:rsidR="001D3F60" w:rsidRPr="3896A6D9">
        <w:rPr>
          <w:rFonts w:eastAsia="Calibri"/>
        </w:rPr>
        <w:t xml:space="preserve"> además, que </w:t>
      </w:r>
      <w:r w:rsidR="000951AF" w:rsidRPr="3896A6D9">
        <w:rPr>
          <w:rFonts w:eastAsia="Calibri"/>
        </w:rPr>
        <w:t>el control</w:t>
      </w:r>
      <w:r w:rsidRPr="3896A6D9">
        <w:rPr>
          <w:rFonts w:eastAsia="Calibri"/>
        </w:rPr>
        <w:t xml:space="preserve"> llevado a cabo por el departamento no es efectivo para verificarlo</w:t>
      </w:r>
      <w:r w:rsidR="001D3F60" w:rsidRPr="3896A6D9">
        <w:rPr>
          <w:rFonts w:eastAsia="Calibri"/>
        </w:rPr>
        <w:t xml:space="preserve"> en el 21 por ciento de las personas</w:t>
      </w:r>
      <w:r w:rsidRPr="3896A6D9">
        <w:rPr>
          <w:rFonts w:eastAsia="Calibri"/>
        </w:rPr>
        <w:t>.</w:t>
      </w:r>
    </w:p>
    <w:p w14:paraId="5CC81D37" w14:textId="77777777" w:rsidR="00BD4E42" w:rsidRDefault="00BD4E42" w:rsidP="00C216A5">
      <w:pPr>
        <w:pStyle w:val="Default"/>
        <w:numPr>
          <w:ilvl w:val="0"/>
          <w:numId w:val="48"/>
        </w:numPr>
        <w:tabs>
          <w:tab w:val="left" w:pos="567"/>
        </w:tabs>
        <w:spacing w:before="120" w:after="120"/>
        <w:ind w:left="0" w:firstLine="284"/>
        <w:jc w:val="both"/>
        <w:rPr>
          <w:rFonts w:ascii="Times New Roman" w:eastAsia="Calibri" w:hAnsi="Times New Roman" w:cs="Times New Roman"/>
          <w:sz w:val="26"/>
          <w:szCs w:val="26"/>
          <w:lang w:val="es-ES_tradnl"/>
        </w:rPr>
      </w:pPr>
      <w:r>
        <w:rPr>
          <w:rFonts w:ascii="Times New Roman" w:eastAsia="Calibri" w:hAnsi="Times New Roman" w:cs="Times New Roman"/>
          <w:sz w:val="26"/>
          <w:szCs w:val="26"/>
          <w:lang w:val="es-ES_tradnl"/>
        </w:rPr>
        <w:t>Acepta</w:t>
      </w:r>
      <w:r w:rsidR="00CC73CA">
        <w:rPr>
          <w:rFonts w:ascii="Times New Roman" w:eastAsia="Calibri" w:hAnsi="Times New Roman" w:cs="Times New Roman"/>
          <w:sz w:val="26"/>
          <w:szCs w:val="26"/>
          <w:lang w:val="es-ES_tradnl"/>
        </w:rPr>
        <w:t>ción de</w:t>
      </w:r>
      <w:r>
        <w:rPr>
          <w:rFonts w:ascii="Times New Roman" w:eastAsia="Calibri" w:hAnsi="Times New Roman" w:cs="Times New Roman"/>
          <w:sz w:val="26"/>
          <w:szCs w:val="26"/>
          <w:lang w:val="es-ES_tradnl"/>
        </w:rPr>
        <w:t xml:space="preserve"> las ofertas de trabajo </w:t>
      </w:r>
      <w:r w:rsidR="00CC73CA">
        <w:rPr>
          <w:rFonts w:ascii="Times New Roman" w:eastAsia="Calibri" w:hAnsi="Times New Roman" w:cs="Times New Roman"/>
          <w:sz w:val="26"/>
          <w:szCs w:val="26"/>
          <w:lang w:val="es-ES_tradnl"/>
        </w:rPr>
        <w:t>propuestas</w:t>
      </w:r>
      <w:r>
        <w:rPr>
          <w:rFonts w:ascii="Times New Roman" w:eastAsia="Calibri" w:hAnsi="Times New Roman" w:cs="Times New Roman"/>
          <w:sz w:val="26"/>
          <w:szCs w:val="26"/>
          <w:lang w:val="es-ES_tradnl"/>
        </w:rPr>
        <w:t>:</w:t>
      </w:r>
    </w:p>
    <w:p w14:paraId="428221C3" w14:textId="77777777" w:rsidR="00BD4E42" w:rsidRPr="002E314C" w:rsidRDefault="00BD4E42" w:rsidP="00C216A5">
      <w:pPr>
        <w:pStyle w:val="texto"/>
        <w:spacing w:after="240"/>
        <w:jc w:val="both"/>
        <w:rPr>
          <w:rFonts w:eastAsia="Calibri"/>
          <w:sz w:val="22"/>
          <w:szCs w:val="22"/>
        </w:rPr>
      </w:pPr>
      <w:r>
        <w:rPr>
          <w:rFonts w:eastAsia="Calibri"/>
          <w:szCs w:val="26"/>
        </w:rPr>
        <w:t xml:space="preserve">El departamento solo </w:t>
      </w:r>
      <w:r w:rsidR="000756B8">
        <w:rPr>
          <w:rFonts w:eastAsia="Calibri"/>
          <w:szCs w:val="26"/>
        </w:rPr>
        <w:t>dispone de</w:t>
      </w:r>
      <w:r>
        <w:rPr>
          <w:rFonts w:eastAsia="Calibri"/>
          <w:szCs w:val="26"/>
        </w:rPr>
        <w:t xml:space="preserve"> datos sobre la participación de las personas </w:t>
      </w:r>
      <w:r w:rsidRPr="00A215EC">
        <w:rPr>
          <w:lang w:val="es-ES_tradnl"/>
        </w:rPr>
        <w:t>beneficiarias</w:t>
      </w:r>
      <w:r>
        <w:rPr>
          <w:rFonts w:eastAsia="Calibri"/>
          <w:szCs w:val="26"/>
        </w:rPr>
        <w:t xml:space="preserve"> en ofertas de trabajo que les realizan las entidades locales</w:t>
      </w:r>
      <w:r w:rsidR="00305A33">
        <w:rPr>
          <w:rFonts w:eastAsia="Calibri"/>
          <w:szCs w:val="26"/>
        </w:rPr>
        <w:t>, sin que consten datos sobre si las personas aceptaron o no otro tipo de ofertas de trabajo</w:t>
      </w:r>
      <w:r>
        <w:rPr>
          <w:rFonts w:eastAsia="Calibri"/>
          <w:szCs w:val="26"/>
        </w:rPr>
        <w:t xml:space="preserve">. En concreto, el </w:t>
      </w:r>
      <w:r w:rsidR="00305A33">
        <w:rPr>
          <w:rFonts w:eastAsia="Calibri"/>
          <w:szCs w:val="26"/>
        </w:rPr>
        <w:t>SNE</w:t>
      </w:r>
      <w:r>
        <w:rPr>
          <w:rFonts w:eastAsia="Calibri"/>
          <w:szCs w:val="26"/>
        </w:rPr>
        <w:t xml:space="preserve"> nos ha facilitado la siguiente información para el periodo 2021-2023: </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684"/>
        <w:gridCol w:w="967"/>
        <w:gridCol w:w="1409"/>
        <w:gridCol w:w="1431"/>
        <w:gridCol w:w="1431"/>
        <w:gridCol w:w="1431"/>
        <w:gridCol w:w="1436"/>
      </w:tblGrid>
      <w:tr w:rsidR="000756B8" w:rsidRPr="00C216A5" w14:paraId="65018FD3" w14:textId="77777777" w:rsidTr="00FE1DDA">
        <w:trPr>
          <w:trHeight w:val="255"/>
        </w:trPr>
        <w:tc>
          <w:tcPr>
            <w:tcW w:w="702" w:type="dxa"/>
            <w:vMerge w:val="restart"/>
            <w:tcBorders>
              <w:left w:val="nil"/>
              <w:right w:val="single" w:sz="2" w:space="0" w:color="auto"/>
            </w:tcBorders>
            <w:shd w:val="clear" w:color="auto" w:fill="9CC2E5" w:themeFill="accent1" w:themeFillTint="99"/>
            <w:vAlign w:val="center"/>
          </w:tcPr>
          <w:p w14:paraId="738610EB" w14:textId="77777777" w:rsidR="000756B8" w:rsidRPr="00C216A5" w:rsidRDefault="000756B8" w:rsidP="009E5187">
            <w:pPr>
              <w:pStyle w:val="Default"/>
              <w:jc w:val="both"/>
              <w:rPr>
                <w:rFonts w:ascii="Arial" w:eastAsia="Calibri" w:hAnsi="Arial" w:cs="Arial"/>
                <w:sz w:val="18"/>
                <w:szCs w:val="18"/>
              </w:rPr>
            </w:pPr>
          </w:p>
        </w:tc>
        <w:tc>
          <w:tcPr>
            <w:tcW w:w="967" w:type="dxa"/>
            <w:vMerge w:val="restart"/>
            <w:tcBorders>
              <w:left w:val="single" w:sz="2" w:space="0" w:color="auto"/>
              <w:right w:val="single" w:sz="2" w:space="0" w:color="auto"/>
            </w:tcBorders>
            <w:shd w:val="clear" w:color="auto" w:fill="9CC2E5" w:themeFill="accent1" w:themeFillTint="99"/>
            <w:vAlign w:val="center"/>
          </w:tcPr>
          <w:p w14:paraId="5ED06F11" w14:textId="77777777" w:rsidR="000756B8" w:rsidRPr="00C216A5" w:rsidRDefault="000756B8" w:rsidP="00C216A5">
            <w:pPr>
              <w:pStyle w:val="Default"/>
              <w:jc w:val="right"/>
              <w:rPr>
                <w:rFonts w:ascii="Arial" w:eastAsia="Calibri" w:hAnsi="Arial" w:cs="Arial"/>
                <w:sz w:val="18"/>
                <w:szCs w:val="18"/>
              </w:rPr>
            </w:pPr>
            <w:r w:rsidRPr="00C216A5">
              <w:rPr>
                <w:rFonts w:ascii="Arial" w:eastAsia="Calibri" w:hAnsi="Arial" w:cs="Arial"/>
                <w:sz w:val="18"/>
                <w:szCs w:val="18"/>
              </w:rPr>
              <w:t>Puestos ofertados</w:t>
            </w:r>
          </w:p>
        </w:tc>
        <w:tc>
          <w:tcPr>
            <w:tcW w:w="1450" w:type="dxa"/>
            <w:vMerge w:val="restart"/>
            <w:tcBorders>
              <w:left w:val="single" w:sz="2" w:space="0" w:color="auto"/>
              <w:right w:val="single" w:sz="2" w:space="0" w:color="auto"/>
            </w:tcBorders>
            <w:shd w:val="clear" w:color="auto" w:fill="9CC2E5" w:themeFill="accent1" w:themeFillTint="99"/>
            <w:vAlign w:val="center"/>
          </w:tcPr>
          <w:p w14:paraId="558BFD6C" w14:textId="77777777" w:rsidR="000756B8" w:rsidRPr="00C216A5" w:rsidRDefault="000756B8" w:rsidP="009E5187">
            <w:pPr>
              <w:pStyle w:val="Default"/>
              <w:jc w:val="right"/>
              <w:rPr>
                <w:rFonts w:ascii="Arial" w:eastAsia="Calibri" w:hAnsi="Arial" w:cs="Arial"/>
                <w:sz w:val="18"/>
                <w:szCs w:val="18"/>
              </w:rPr>
            </w:pPr>
            <w:r w:rsidRPr="00C216A5">
              <w:rPr>
                <w:rFonts w:ascii="Arial" w:eastAsia="Calibri" w:hAnsi="Arial" w:cs="Arial"/>
                <w:sz w:val="18"/>
                <w:szCs w:val="18"/>
              </w:rPr>
              <w:t xml:space="preserve">Personas citadas perceptoras de RG </w:t>
            </w:r>
          </w:p>
        </w:tc>
        <w:tc>
          <w:tcPr>
            <w:tcW w:w="3021" w:type="dxa"/>
            <w:gridSpan w:val="2"/>
            <w:tcBorders>
              <w:left w:val="single" w:sz="2" w:space="0" w:color="auto"/>
              <w:bottom w:val="single" w:sz="2" w:space="0" w:color="auto"/>
              <w:right w:val="single" w:sz="4" w:space="0" w:color="auto"/>
            </w:tcBorders>
            <w:shd w:val="clear" w:color="auto" w:fill="9CC2E5" w:themeFill="accent1" w:themeFillTint="99"/>
            <w:vAlign w:val="center"/>
          </w:tcPr>
          <w:p w14:paraId="31B5DFB5" w14:textId="0D1D5108" w:rsidR="000756B8" w:rsidRPr="00C216A5" w:rsidRDefault="0E04C4A9" w:rsidP="000756B8">
            <w:pPr>
              <w:pStyle w:val="Default"/>
              <w:jc w:val="center"/>
              <w:rPr>
                <w:rFonts w:ascii="Arial" w:eastAsia="Calibri" w:hAnsi="Arial" w:cs="Arial"/>
                <w:sz w:val="18"/>
                <w:szCs w:val="18"/>
              </w:rPr>
            </w:pPr>
            <w:r w:rsidRPr="00C216A5">
              <w:rPr>
                <w:rFonts w:ascii="Arial" w:eastAsia="Calibri" w:hAnsi="Arial" w:cs="Arial"/>
                <w:sz w:val="18"/>
                <w:szCs w:val="18"/>
              </w:rPr>
              <w:t xml:space="preserve">Personas </w:t>
            </w:r>
            <w:r w:rsidR="05CCE1AB" w:rsidRPr="00C216A5">
              <w:rPr>
                <w:rFonts w:ascii="Arial" w:eastAsia="Calibri" w:hAnsi="Arial" w:cs="Arial"/>
                <w:sz w:val="18"/>
                <w:szCs w:val="18"/>
              </w:rPr>
              <w:t xml:space="preserve">RG </w:t>
            </w:r>
            <w:r w:rsidRPr="00C216A5">
              <w:rPr>
                <w:rFonts w:ascii="Arial" w:eastAsia="Calibri" w:hAnsi="Arial" w:cs="Arial"/>
                <w:sz w:val="18"/>
                <w:szCs w:val="18"/>
              </w:rPr>
              <w:t xml:space="preserve">que no acuden </w:t>
            </w:r>
          </w:p>
          <w:p w14:paraId="36DE0493" w14:textId="77777777" w:rsidR="000756B8" w:rsidRPr="00C216A5" w:rsidRDefault="000756B8" w:rsidP="000756B8">
            <w:pPr>
              <w:pStyle w:val="Default"/>
              <w:jc w:val="center"/>
              <w:rPr>
                <w:rFonts w:ascii="Arial" w:eastAsia="Calibri" w:hAnsi="Arial" w:cs="Arial"/>
                <w:sz w:val="18"/>
                <w:szCs w:val="18"/>
              </w:rPr>
            </w:pPr>
            <w:r w:rsidRPr="00C216A5">
              <w:rPr>
                <w:rFonts w:ascii="Arial" w:eastAsia="Calibri" w:hAnsi="Arial" w:cs="Arial"/>
                <w:sz w:val="18"/>
                <w:szCs w:val="18"/>
              </w:rPr>
              <w:t>a ofertas trabajo</w:t>
            </w:r>
          </w:p>
        </w:tc>
        <w:tc>
          <w:tcPr>
            <w:tcW w:w="3021" w:type="dxa"/>
            <w:gridSpan w:val="2"/>
            <w:tcBorders>
              <w:left w:val="single" w:sz="4" w:space="0" w:color="auto"/>
              <w:bottom w:val="single" w:sz="2" w:space="0" w:color="auto"/>
              <w:right w:val="nil"/>
            </w:tcBorders>
            <w:shd w:val="clear" w:color="auto" w:fill="9CC2E5" w:themeFill="accent1" w:themeFillTint="99"/>
            <w:vAlign w:val="center"/>
          </w:tcPr>
          <w:p w14:paraId="197B56B6" w14:textId="4A472459" w:rsidR="000756B8" w:rsidRPr="00C216A5" w:rsidRDefault="0E04C4A9" w:rsidP="009E5187">
            <w:pPr>
              <w:pStyle w:val="Default"/>
              <w:jc w:val="center"/>
              <w:rPr>
                <w:rFonts w:ascii="Arial" w:eastAsia="Calibri" w:hAnsi="Arial" w:cs="Arial"/>
                <w:sz w:val="18"/>
                <w:szCs w:val="18"/>
              </w:rPr>
            </w:pPr>
            <w:r w:rsidRPr="00C216A5">
              <w:rPr>
                <w:rFonts w:ascii="Arial" w:eastAsia="Calibri" w:hAnsi="Arial" w:cs="Arial"/>
                <w:sz w:val="18"/>
                <w:szCs w:val="18"/>
              </w:rPr>
              <w:t xml:space="preserve">Personas </w:t>
            </w:r>
            <w:r w:rsidR="3569A9E0" w:rsidRPr="00C216A5">
              <w:rPr>
                <w:rFonts w:ascii="Arial" w:eastAsia="Calibri" w:hAnsi="Arial" w:cs="Arial"/>
                <w:sz w:val="18"/>
                <w:szCs w:val="18"/>
              </w:rPr>
              <w:t xml:space="preserve">RG </w:t>
            </w:r>
            <w:r w:rsidRPr="00C216A5">
              <w:rPr>
                <w:rFonts w:ascii="Arial" w:eastAsia="Calibri" w:hAnsi="Arial" w:cs="Arial"/>
                <w:sz w:val="18"/>
                <w:szCs w:val="18"/>
              </w:rPr>
              <w:t>contratadas</w:t>
            </w:r>
          </w:p>
        </w:tc>
      </w:tr>
      <w:tr w:rsidR="000756B8" w:rsidRPr="00C216A5" w14:paraId="17AFF60F" w14:textId="77777777" w:rsidTr="00FE1DDA">
        <w:trPr>
          <w:trHeight w:val="255"/>
        </w:trPr>
        <w:tc>
          <w:tcPr>
            <w:tcW w:w="702" w:type="dxa"/>
            <w:vMerge/>
            <w:tcBorders>
              <w:right w:val="single" w:sz="2" w:space="0" w:color="auto"/>
            </w:tcBorders>
            <w:vAlign w:val="center"/>
          </w:tcPr>
          <w:p w14:paraId="637805D2" w14:textId="77777777" w:rsidR="000756B8" w:rsidRPr="00C216A5" w:rsidRDefault="000756B8" w:rsidP="000756B8">
            <w:pPr>
              <w:pStyle w:val="Default"/>
              <w:jc w:val="both"/>
              <w:rPr>
                <w:rFonts w:ascii="Arial" w:eastAsia="Calibri" w:hAnsi="Arial" w:cs="Arial"/>
                <w:sz w:val="18"/>
                <w:szCs w:val="18"/>
              </w:rPr>
            </w:pPr>
          </w:p>
        </w:tc>
        <w:tc>
          <w:tcPr>
            <w:tcW w:w="967" w:type="dxa"/>
            <w:vMerge/>
            <w:tcBorders>
              <w:top w:val="single" w:sz="2" w:space="0" w:color="auto"/>
              <w:left w:val="single" w:sz="2" w:space="0" w:color="auto"/>
              <w:right w:val="single" w:sz="2" w:space="0" w:color="auto"/>
            </w:tcBorders>
            <w:vAlign w:val="center"/>
          </w:tcPr>
          <w:p w14:paraId="463F29E8" w14:textId="77777777" w:rsidR="000756B8" w:rsidRPr="00C216A5" w:rsidRDefault="000756B8" w:rsidP="000756B8">
            <w:pPr>
              <w:pStyle w:val="Default"/>
              <w:jc w:val="right"/>
              <w:rPr>
                <w:rFonts w:ascii="Arial" w:eastAsia="Calibri" w:hAnsi="Arial" w:cs="Arial"/>
                <w:sz w:val="18"/>
                <w:szCs w:val="18"/>
              </w:rPr>
            </w:pPr>
          </w:p>
        </w:tc>
        <w:tc>
          <w:tcPr>
            <w:tcW w:w="1450" w:type="dxa"/>
            <w:vMerge/>
            <w:tcBorders>
              <w:top w:val="single" w:sz="2" w:space="0" w:color="auto"/>
              <w:left w:val="single" w:sz="2" w:space="0" w:color="auto"/>
            </w:tcBorders>
            <w:vAlign w:val="center"/>
          </w:tcPr>
          <w:p w14:paraId="3B7B4B86" w14:textId="77777777" w:rsidR="000756B8" w:rsidRPr="00C216A5" w:rsidRDefault="000756B8" w:rsidP="000756B8">
            <w:pPr>
              <w:pStyle w:val="Default"/>
              <w:jc w:val="right"/>
              <w:rPr>
                <w:rFonts w:ascii="Arial" w:eastAsia="Calibri" w:hAnsi="Arial" w:cs="Arial"/>
                <w:sz w:val="18"/>
                <w:szCs w:val="18"/>
              </w:rPr>
            </w:pPr>
          </w:p>
        </w:tc>
        <w:tc>
          <w:tcPr>
            <w:tcW w:w="1510" w:type="dxa"/>
            <w:tcBorders>
              <w:top w:val="single" w:sz="2" w:space="0" w:color="auto"/>
              <w:left w:val="single" w:sz="2" w:space="0" w:color="auto"/>
              <w:right w:val="single" w:sz="2" w:space="0" w:color="auto"/>
            </w:tcBorders>
            <w:shd w:val="clear" w:color="auto" w:fill="9CC2E5" w:themeFill="accent1" w:themeFillTint="99"/>
            <w:vAlign w:val="center"/>
          </w:tcPr>
          <w:p w14:paraId="4572C438" w14:textId="77777777" w:rsidR="000756B8" w:rsidRPr="00C216A5" w:rsidRDefault="000756B8" w:rsidP="000756B8">
            <w:pPr>
              <w:pStyle w:val="Default"/>
              <w:jc w:val="right"/>
              <w:rPr>
                <w:rFonts w:ascii="Arial" w:eastAsia="Calibri" w:hAnsi="Arial" w:cs="Arial"/>
                <w:sz w:val="18"/>
                <w:szCs w:val="18"/>
              </w:rPr>
            </w:pPr>
            <w:r w:rsidRPr="00C216A5">
              <w:rPr>
                <w:rFonts w:ascii="Arial" w:eastAsia="Calibri" w:hAnsi="Arial" w:cs="Arial"/>
                <w:sz w:val="18"/>
                <w:szCs w:val="18"/>
              </w:rPr>
              <w:t xml:space="preserve">Nº personas </w:t>
            </w:r>
          </w:p>
        </w:tc>
        <w:tc>
          <w:tcPr>
            <w:tcW w:w="1511" w:type="dxa"/>
            <w:tcBorders>
              <w:top w:val="single" w:sz="2" w:space="0" w:color="auto"/>
              <w:left w:val="single" w:sz="2" w:space="0" w:color="auto"/>
              <w:right w:val="single" w:sz="2" w:space="0" w:color="auto"/>
            </w:tcBorders>
            <w:shd w:val="clear" w:color="auto" w:fill="9CC2E5" w:themeFill="accent1" w:themeFillTint="99"/>
            <w:vAlign w:val="center"/>
          </w:tcPr>
          <w:p w14:paraId="5771FA32" w14:textId="3ABD2512" w:rsidR="000756B8" w:rsidRPr="00C216A5" w:rsidRDefault="000756B8" w:rsidP="000756B8">
            <w:pPr>
              <w:pStyle w:val="Default"/>
              <w:jc w:val="right"/>
              <w:rPr>
                <w:rFonts w:ascii="Arial" w:eastAsia="Calibri" w:hAnsi="Arial" w:cs="Arial"/>
                <w:sz w:val="18"/>
                <w:szCs w:val="18"/>
              </w:rPr>
            </w:pPr>
            <w:r w:rsidRPr="00C216A5">
              <w:rPr>
                <w:rFonts w:ascii="Arial" w:eastAsia="Calibri" w:hAnsi="Arial" w:cs="Arial"/>
                <w:sz w:val="18"/>
                <w:szCs w:val="18"/>
              </w:rPr>
              <w:t>%</w:t>
            </w:r>
            <w:r w:rsidR="00247DB6">
              <w:rPr>
                <w:rFonts w:ascii="Arial" w:eastAsia="Calibri" w:hAnsi="Arial" w:cs="Arial"/>
                <w:sz w:val="18"/>
                <w:szCs w:val="18"/>
              </w:rPr>
              <w:t xml:space="preserve"> </w:t>
            </w:r>
            <w:r w:rsidRPr="00C216A5">
              <w:rPr>
                <w:rFonts w:ascii="Arial" w:eastAsia="Calibri" w:hAnsi="Arial" w:cs="Arial"/>
                <w:sz w:val="18"/>
                <w:szCs w:val="18"/>
              </w:rPr>
              <w:t xml:space="preserve">s/ personas </w:t>
            </w:r>
          </w:p>
          <w:p w14:paraId="6B42DA1B" w14:textId="77777777" w:rsidR="000756B8" w:rsidRPr="00C216A5" w:rsidRDefault="000756B8" w:rsidP="000756B8">
            <w:pPr>
              <w:pStyle w:val="Default"/>
              <w:jc w:val="right"/>
              <w:rPr>
                <w:rFonts w:ascii="Arial" w:eastAsia="Calibri" w:hAnsi="Arial" w:cs="Arial"/>
                <w:sz w:val="18"/>
                <w:szCs w:val="18"/>
              </w:rPr>
            </w:pPr>
            <w:r w:rsidRPr="00C216A5">
              <w:rPr>
                <w:rFonts w:ascii="Arial" w:eastAsia="Calibri" w:hAnsi="Arial" w:cs="Arial"/>
                <w:sz w:val="18"/>
                <w:szCs w:val="18"/>
              </w:rPr>
              <w:t>citadas</w:t>
            </w:r>
          </w:p>
        </w:tc>
        <w:tc>
          <w:tcPr>
            <w:tcW w:w="1510" w:type="dxa"/>
            <w:tcBorders>
              <w:top w:val="single" w:sz="2" w:space="0" w:color="auto"/>
              <w:left w:val="single" w:sz="2" w:space="0" w:color="auto"/>
              <w:right w:val="single" w:sz="2" w:space="0" w:color="auto"/>
            </w:tcBorders>
            <w:shd w:val="clear" w:color="auto" w:fill="9CC2E5" w:themeFill="accent1" w:themeFillTint="99"/>
            <w:vAlign w:val="center"/>
          </w:tcPr>
          <w:p w14:paraId="69E7DEAE" w14:textId="77777777" w:rsidR="000756B8" w:rsidRPr="00C216A5" w:rsidRDefault="000756B8" w:rsidP="000756B8">
            <w:pPr>
              <w:pStyle w:val="Default"/>
              <w:jc w:val="right"/>
              <w:rPr>
                <w:rFonts w:ascii="Arial" w:eastAsia="Calibri" w:hAnsi="Arial" w:cs="Arial"/>
                <w:sz w:val="18"/>
                <w:szCs w:val="18"/>
              </w:rPr>
            </w:pPr>
            <w:r w:rsidRPr="00C216A5">
              <w:rPr>
                <w:rFonts w:ascii="Arial" w:eastAsia="Calibri" w:hAnsi="Arial" w:cs="Arial"/>
                <w:sz w:val="18"/>
                <w:szCs w:val="18"/>
              </w:rPr>
              <w:t>Nº personas</w:t>
            </w:r>
          </w:p>
        </w:tc>
        <w:tc>
          <w:tcPr>
            <w:tcW w:w="1511" w:type="dxa"/>
            <w:tcBorders>
              <w:top w:val="single" w:sz="2" w:space="0" w:color="auto"/>
              <w:left w:val="single" w:sz="2" w:space="0" w:color="auto"/>
              <w:right w:val="nil"/>
            </w:tcBorders>
            <w:shd w:val="clear" w:color="auto" w:fill="9CC2E5" w:themeFill="accent1" w:themeFillTint="99"/>
            <w:vAlign w:val="center"/>
          </w:tcPr>
          <w:p w14:paraId="1C2162CD" w14:textId="05D6DCC3" w:rsidR="000756B8" w:rsidRPr="00C216A5" w:rsidRDefault="000756B8" w:rsidP="00247DB6">
            <w:pPr>
              <w:pStyle w:val="Default"/>
              <w:jc w:val="right"/>
              <w:rPr>
                <w:rFonts w:ascii="Arial" w:eastAsia="Calibri" w:hAnsi="Arial" w:cs="Arial"/>
                <w:sz w:val="18"/>
                <w:szCs w:val="18"/>
              </w:rPr>
            </w:pPr>
            <w:r w:rsidRPr="00C216A5">
              <w:rPr>
                <w:rFonts w:ascii="Arial" w:eastAsia="Calibri" w:hAnsi="Arial" w:cs="Arial"/>
                <w:sz w:val="18"/>
                <w:szCs w:val="18"/>
              </w:rPr>
              <w:t>%</w:t>
            </w:r>
            <w:r w:rsidR="00247DB6">
              <w:rPr>
                <w:rFonts w:ascii="Arial" w:eastAsia="Calibri" w:hAnsi="Arial" w:cs="Arial"/>
                <w:sz w:val="18"/>
                <w:szCs w:val="18"/>
              </w:rPr>
              <w:t xml:space="preserve"> </w:t>
            </w:r>
            <w:r w:rsidRPr="00C216A5">
              <w:rPr>
                <w:rFonts w:ascii="Arial" w:eastAsia="Calibri" w:hAnsi="Arial" w:cs="Arial"/>
                <w:sz w:val="18"/>
                <w:szCs w:val="18"/>
              </w:rPr>
              <w:t>s/puestos ofertados</w:t>
            </w:r>
          </w:p>
        </w:tc>
      </w:tr>
      <w:tr w:rsidR="000756B8" w:rsidRPr="00281431" w14:paraId="29BA77A5" w14:textId="77777777" w:rsidTr="00247DB6">
        <w:trPr>
          <w:trHeight w:val="198"/>
        </w:trPr>
        <w:tc>
          <w:tcPr>
            <w:tcW w:w="702" w:type="dxa"/>
            <w:tcBorders>
              <w:bottom w:val="single" w:sz="2" w:space="0" w:color="auto"/>
              <w:right w:val="single" w:sz="2" w:space="0" w:color="auto"/>
            </w:tcBorders>
            <w:vAlign w:val="center"/>
          </w:tcPr>
          <w:p w14:paraId="55BFB259" w14:textId="77777777" w:rsidR="000756B8" w:rsidRPr="00281431" w:rsidRDefault="000756B8" w:rsidP="000756B8">
            <w:pPr>
              <w:pStyle w:val="Default"/>
              <w:rPr>
                <w:rFonts w:ascii="Arial Narrow" w:eastAsia="Calibri" w:hAnsi="Arial Narrow" w:cs="Times New Roman"/>
              </w:rPr>
            </w:pPr>
            <w:r>
              <w:rPr>
                <w:rFonts w:ascii="Arial Narrow" w:eastAsia="Calibri" w:hAnsi="Arial Narrow" w:cs="Times New Roman"/>
              </w:rPr>
              <w:t>2021</w:t>
            </w:r>
          </w:p>
        </w:tc>
        <w:tc>
          <w:tcPr>
            <w:tcW w:w="967" w:type="dxa"/>
            <w:tcBorders>
              <w:left w:val="single" w:sz="2" w:space="0" w:color="auto"/>
              <w:bottom w:val="single" w:sz="2" w:space="0" w:color="auto"/>
              <w:right w:val="single" w:sz="2" w:space="0" w:color="auto"/>
            </w:tcBorders>
            <w:vAlign w:val="center"/>
          </w:tcPr>
          <w:p w14:paraId="7B9882E1"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607</w:t>
            </w:r>
          </w:p>
        </w:tc>
        <w:tc>
          <w:tcPr>
            <w:tcW w:w="1450" w:type="dxa"/>
            <w:tcBorders>
              <w:left w:val="single" w:sz="2" w:space="0" w:color="auto"/>
              <w:bottom w:val="single" w:sz="2" w:space="0" w:color="auto"/>
              <w:right w:val="single" w:sz="2" w:space="0" w:color="auto"/>
            </w:tcBorders>
            <w:vAlign w:val="center"/>
          </w:tcPr>
          <w:p w14:paraId="254D391F"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1.752</w:t>
            </w:r>
          </w:p>
        </w:tc>
        <w:tc>
          <w:tcPr>
            <w:tcW w:w="1510" w:type="dxa"/>
            <w:tcBorders>
              <w:left w:val="single" w:sz="2" w:space="0" w:color="auto"/>
              <w:bottom w:val="single" w:sz="2" w:space="0" w:color="auto"/>
              <w:right w:val="single" w:sz="2" w:space="0" w:color="auto"/>
            </w:tcBorders>
            <w:vAlign w:val="center"/>
          </w:tcPr>
          <w:p w14:paraId="3C95BE78"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377</w:t>
            </w:r>
          </w:p>
        </w:tc>
        <w:tc>
          <w:tcPr>
            <w:tcW w:w="1511" w:type="dxa"/>
            <w:tcBorders>
              <w:left w:val="single" w:sz="2" w:space="0" w:color="auto"/>
              <w:bottom w:val="single" w:sz="2" w:space="0" w:color="auto"/>
              <w:right w:val="single" w:sz="2" w:space="0" w:color="auto"/>
            </w:tcBorders>
            <w:vAlign w:val="center"/>
          </w:tcPr>
          <w:p w14:paraId="43538BBD"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22</w:t>
            </w:r>
          </w:p>
        </w:tc>
        <w:tc>
          <w:tcPr>
            <w:tcW w:w="1510" w:type="dxa"/>
            <w:tcBorders>
              <w:left w:val="single" w:sz="2" w:space="0" w:color="auto"/>
              <w:bottom w:val="single" w:sz="2" w:space="0" w:color="auto"/>
              <w:right w:val="single" w:sz="2" w:space="0" w:color="auto"/>
            </w:tcBorders>
            <w:vAlign w:val="center"/>
          </w:tcPr>
          <w:p w14:paraId="663C344E"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85</w:t>
            </w:r>
          </w:p>
        </w:tc>
        <w:tc>
          <w:tcPr>
            <w:tcW w:w="1511" w:type="dxa"/>
            <w:tcBorders>
              <w:left w:val="single" w:sz="2" w:space="0" w:color="auto"/>
              <w:bottom w:val="single" w:sz="2" w:space="0" w:color="auto"/>
              <w:right w:val="nil"/>
            </w:tcBorders>
            <w:vAlign w:val="center"/>
          </w:tcPr>
          <w:p w14:paraId="0F953182"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14</w:t>
            </w:r>
          </w:p>
        </w:tc>
      </w:tr>
      <w:tr w:rsidR="000756B8" w:rsidRPr="00281431" w14:paraId="086351F2" w14:textId="77777777" w:rsidTr="00247DB6">
        <w:trPr>
          <w:trHeight w:val="198"/>
        </w:trPr>
        <w:tc>
          <w:tcPr>
            <w:tcW w:w="702" w:type="dxa"/>
            <w:tcBorders>
              <w:top w:val="single" w:sz="2" w:space="0" w:color="auto"/>
              <w:bottom w:val="single" w:sz="2" w:space="0" w:color="auto"/>
              <w:right w:val="single" w:sz="2" w:space="0" w:color="auto"/>
            </w:tcBorders>
            <w:vAlign w:val="center"/>
          </w:tcPr>
          <w:p w14:paraId="057ED589" w14:textId="77777777" w:rsidR="000756B8" w:rsidRPr="00281431" w:rsidRDefault="000756B8" w:rsidP="000756B8">
            <w:pPr>
              <w:pStyle w:val="Default"/>
              <w:rPr>
                <w:rFonts w:ascii="Arial Narrow" w:eastAsia="Calibri" w:hAnsi="Arial Narrow" w:cs="Times New Roman"/>
              </w:rPr>
            </w:pPr>
            <w:r>
              <w:rPr>
                <w:rFonts w:ascii="Arial Narrow" w:eastAsia="Calibri" w:hAnsi="Arial Narrow" w:cs="Times New Roman"/>
              </w:rPr>
              <w:t>2022</w:t>
            </w:r>
          </w:p>
        </w:tc>
        <w:tc>
          <w:tcPr>
            <w:tcW w:w="967" w:type="dxa"/>
            <w:tcBorders>
              <w:top w:val="single" w:sz="2" w:space="0" w:color="auto"/>
              <w:left w:val="single" w:sz="2" w:space="0" w:color="auto"/>
              <w:bottom w:val="single" w:sz="2" w:space="0" w:color="auto"/>
              <w:right w:val="single" w:sz="2" w:space="0" w:color="auto"/>
            </w:tcBorders>
            <w:vAlign w:val="center"/>
          </w:tcPr>
          <w:p w14:paraId="58D49981"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856</w:t>
            </w:r>
          </w:p>
        </w:tc>
        <w:tc>
          <w:tcPr>
            <w:tcW w:w="1450" w:type="dxa"/>
            <w:tcBorders>
              <w:top w:val="single" w:sz="2" w:space="0" w:color="auto"/>
              <w:left w:val="single" w:sz="2" w:space="0" w:color="auto"/>
              <w:bottom w:val="single" w:sz="2" w:space="0" w:color="auto"/>
              <w:right w:val="single" w:sz="2" w:space="0" w:color="auto"/>
            </w:tcBorders>
            <w:vAlign w:val="center"/>
          </w:tcPr>
          <w:p w14:paraId="0234BB96"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2.053</w:t>
            </w:r>
          </w:p>
        </w:tc>
        <w:tc>
          <w:tcPr>
            <w:tcW w:w="1510" w:type="dxa"/>
            <w:tcBorders>
              <w:top w:val="single" w:sz="2" w:space="0" w:color="auto"/>
              <w:left w:val="single" w:sz="2" w:space="0" w:color="auto"/>
              <w:bottom w:val="single" w:sz="2" w:space="0" w:color="auto"/>
              <w:right w:val="single" w:sz="2" w:space="0" w:color="auto"/>
            </w:tcBorders>
            <w:vAlign w:val="center"/>
          </w:tcPr>
          <w:p w14:paraId="0D8F652A"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394</w:t>
            </w:r>
          </w:p>
        </w:tc>
        <w:tc>
          <w:tcPr>
            <w:tcW w:w="1511" w:type="dxa"/>
            <w:tcBorders>
              <w:top w:val="single" w:sz="2" w:space="0" w:color="auto"/>
              <w:left w:val="single" w:sz="2" w:space="0" w:color="auto"/>
              <w:bottom w:val="single" w:sz="2" w:space="0" w:color="auto"/>
              <w:right w:val="single" w:sz="2" w:space="0" w:color="auto"/>
            </w:tcBorders>
            <w:vAlign w:val="center"/>
          </w:tcPr>
          <w:p w14:paraId="2847A633"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19</w:t>
            </w:r>
          </w:p>
        </w:tc>
        <w:tc>
          <w:tcPr>
            <w:tcW w:w="1510" w:type="dxa"/>
            <w:tcBorders>
              <w:top w:val="single" w:sz="2" w:space="0" w:color="auto"/>
              <w:left w:val="single" w:sz="2" w:space="0" w:color="auto"/>
              <w:bottom w:val="single" w:sz="2" w:space="0" w:color="auto"/>
              <w:right w:val="single" w:sz="2" w:space="0" w:color="auto"/>
            </w:tcBorders>
            <w:vAlign w:val="center"/>
          </w:tcPr>
          <w:p w14:paraId="6D3A19EC"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129</w:t>
            </w:r>
          </w:p>
        </w:tc>
        <w:tc>
          <w:tcPr>
            <w:tcW w:w="1511" w:type="dxa"/>
            <w:tcBorders>
              <w:top w:val="single" w:sz="2" w:space="0" w:color="auto"/>
              <w:left w:val="single" w:sz="2" w:space="0" w:color="auto"/>
              <w:bottom w:val="single" w:sz="2" w:space="0" w:color="auto"/>
              <w:right w:val="nil"/>
            </w:tcBorders>
            <w:vAlign w:val="center"/>
          </w:tcPr>
          <w:p w14:paraId="33CFEC6B"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15</w:t>
            </w:r>
          </w:p>
        </w:tc>
      </w:tr>
      <w:tr w:rsidR="000756B8" w:rsidRPr="00281431" w14:paraId="55BD3F66" w14:textId="77777777" w:rsidTr="00247DB6">
        <w:trPr>
          <w:trHeight w:val="198"/>
        </w:trPr>
        <w:tc>
          <w:tcPr>
            <w:tcW w:w="702" w:type="dxa"/>
            <w:tcBorders>
              <w:top w:val="single" w:sz="2" w:space="0" w:color="auto"/>
              <w:right w:val="single" w:sz="2" w:space="0" w:color="auto"/>
            </w:tcBorders>
            <w:vAlign w:val="center"/>
          </w:tcPr>
          <w:p w14:paraId="21D5FB87" w14:textId="77777777" w:rsidR="000756B8" w:rsidRPr="00281431" w:rsidRDefault="000756B8" w:rsidP="000756B8">
            <w:pPr>
              <w:pStyle w:val="Default"/>
              <w:rPr>
                <w:rFonts w:ascii="Arial Narrow" w:eastAsia="Calibri" w:hAnsi="Arial Narrow" w:cs="Times New Roman"/>
              </w:rPr>
            </w:pPr>
            <w:r>
              <w:rPr>
                <w:rFonts w:ascii="Arial Narrow" w:eastAsia="Calibri" w:hAnsi="Arial Narrow" w:cs="Times New Roman"/>
              </w:rPr>
              <w:t>2023</w:t>
            </w:r>
          </w:p>
        </w:tc>
        <w:tc>
          <w:tcPr>
            <w:tcW w:w="967" w:type="dxa"/>
            <w:tcBorders>
              <w:top w:val="single" w:sz="2" w:space="0" w:color="auto"/>
              <w:left w:val="single" w:sz="2" w:space="0" w:color="auto"/>
              <w:right w:val="single" w:sz="2" w:space="0" w:color="auto"/>
            </w:tcBorders>
            <w:vAlign w:val="center"/>
          </w:tcPr>
          <w:p w14:paraId="04DF2D2A"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616</w:t>
            </w:r>
          </w:p>
        </w:tc>
        <w:tc>
          <w:tcPr>
            <w:tcW w:w="1450" w:type="dxa"/>
            <w:tcBorders>
              <w:top w:val="single" w:sz="2" w:space="0" w:color="auto"/>
              <w:left w:val="single" w:sz="2" w:space="0" w:color="auto"/>
              <w:right w:val="single" w:sz="2" w:space="0" w:color="auto"/>
            </w:tcBorders>
            <w:vAlign w:val="center"/>
          </w:tcPr>
          <w:p w14:paraId="3FF4322B"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1.331</w:t>
            </w:r>
          </w:p>
        </w:tc>
        <w:tc>
          <w:tcPr>
            <w:tcW w:w="1510" w:type="dxa"/>
            <w:tcBorders>
              <w:top w:val="single" w:sz="2" w:space="0" w:color="auto"/>
              <w:left w:val="single" w:sz="2" w:space="0" w:color="auto"/>
              <w:right w:val="single" w:sz="2" w:space="0" w:color="auto"/>
            </w:tcBorders>
            <w:vAlign w:val="center"/>
          </w:tcPr>
          <w:p w14:paraId="2EF6C577"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341</w:t>
            </w:r>
          </w:p>
        </w:tc>
        <w:tc>
          <w:tcPr>
            <w:tcW w:w="1511" w:type="dxa"/>
            <w:tcBorders>
              <w:top w:val="single" w:sz="2" w:space="0" w:color="auto"/>
              <w:left w:val="single" w:sz="2" w:space="0" w:color="auto"/>
              <w:right w:val="single" w:sz="2" w:space="0" w:color="auto"/>
            </w:tcBorders>
            <w:vAlign w:val="center"/>
          </w:tcPr>
          <w:p w14:paraId="36334656" w14:textId="77777777" w:rsidR="000756B8" w:rsidRPr="00281431" w:rsidRDefault="000756B8" w:rsidP="000756B8">
            <w:pPr>
              <w:pStyle w:val="Default"/>
              <w:jc w:val="right"/>
              <w:rPr>
                <w:rFonts w:ascii="Arial Narrow" w:eastAsia="Calibri" w:hAnsi="Arial Narrow" w:cs="Times New Roman"/>
              </w:rPr>
            </w:pPr>
            <w:r>
              <w:rPr>
                <w:rFonts w:ascii="Arial Narrow" w:eastAsia="Calibri" w:hAnsi="Arial Narrow" w:cs="Times New Roman"/>
              </w:rPr>
              <w:t>26</w:t>
            </w:r>
          </w:p>
        </w:tc>
        <w:tc>
          <w:tcPr>
            <w:tcW w:w="1510" w:type="dxa"/>
            <w:tcBorders>
              <w:top w:val="single" w:sz="2" w:space="0" w:color="auto"/>
              <w:left w:val="single" w:sz="2" w:space="0" w:color="auto"/>
              <w:right w:val="single" w:sz="2" w:space="0" w:color="auto"/>
            </w:tcBorders>
            <w:vAlign w:val="center"/>
          </w:tcPr>
          <w:p w14:paraId="5677BD23" w14:textId="77777777" w:rsidR="000756B8" w:rsidRPr="00281431" w:rsidRDefault="000756B8" w:rsidP="000756B8">
            <w:pPr>
              <w:pStyle w:val="Default"/>
              <w:jc w:val="right"/>
              <w:rPr>
                <w:rFonts w:ascii="Arial Narrow" w:eastAsia="Calibri" w:hAnsi="Arial Narrow" w:cs="Times New Roman"/>
              </w:rPr>
            </w:pPr>
            <w:r w:rsidRPr="3896A6D9">
              <w:rPr>
                <w:rFonts w:ascii="Arial Narrow" w:eastAsia="Calibri" w:hAnsi="Arial Narrow" w:cs="Times New Roman"/>
              </w:rPr>
              <w:t>76</w:t>
            </w:r>
          </w:p>
        </w:tc>
        <w:tc>
          <w:tcPr>
            <w:tcW w:w="1511" w:type="dxa"/>
            <w:tcBorders>
              <w:top w:val="single" w:sz="2" w:space="0" w:color="auto"/>
              <w:left w:val="single" w:sz="2" w:space="0" w:color="auto"/>
              <w:right w:val="nil"/>
            </w:tcBorders>
            <w:vAlign w:val="center"/>
          </w:tcPr>
          <w:p w14:paraId="4B73E586" w14:textId="77777777" w:rsidR="000756B8" w:rsidRPr="00281431" w:rsidRDefault="000756B8" w:rsidP="000756B8">
            <w:pPr>
              <w:pStyle w:val="Default"/>
              <w:jc w:val="right"/>
              <w:rPr>
                <w:rFonts w:ascii="Arial Narrow" w:eastAsia="Calibri" w:hAnsi="Arial Narrow" w:cs="Times New Roman"/>
              </w:rPr>
            </w:pPr>
            <w:r w:rsidRPr="3896A6D9">
              <w:rPr>
                <w:rFonts w:ascii="Arial Narrow" w:eastAsia="Calibri" w:hAnsi="Arial Narrow" w:cs="Times New Roman"/>
              </w:rPr>
              <w:t>12</w:t>
            </w:r>
          </w:p>
        </w:tc>
      </w:tr>
    </w:tbl>
    <w:p w14:paraId="0B573B3E" w14:textId="130362CD" w:rsidR="00BD4E42" w:rsidRDefault="7441A2F6" w:rsidP="3896A6D9">
      <w:pPr>
        <w:pStyle w:val="texto"/>
        <w:spacing w:before="240" w:after="140"/>
        <w:jc w:val="both"/>
        <w:rPr>
          <w:rFonts w:eastAsia="Calibri"/>
        </w:rPr>
      </w:pPr>
      <w:r w:rsidRPr="3896A6D9">
        <w:rPr>
          <w:rFonts w:eastAsia="Calibri"/>
        </w:rPr>
        <w:t xml:space="preserve">Las </w:t>
      </w:r>
      <w:r w:rsidRPr="3896A6D9">
        <w:t>entidades</w:t>
      </w:r>
      <w:r w:rsidRPr="3896A6D9">
        <w:rPr>
          <w:rFonts w:eastAsia="Calibri"/>
        </w:rPr>
        <w:t xml:space="preserve"> locales realizaron en el periodo 2021-2023 un total de 2.079 ofertas de puestos a 5.136 personas, de las cuales el 2</w:t>
      </w:r>
      <w:r w:rsidR="0CB4C6D0" w:rsidRPr="3896A6D9">
        <w:rPr>
          <w:rFonts w:eastAsia="Calibri"/>
        </w:rPr>
        <w:t>2</w:t>
      </w:r>
      <w:r w:rsidRPr="3896A6D9">
        <w:rPr>
          <w:rFonts w:eastAsia="Calibri"/>
        </w:rPr>
        <w:t xml:space="preserve"> por ciento no acudió a dichas ofertas y el </w:t>
      </w:r>
      <w:r w:rsidR="0E04C4A9" w:rsidRPr="3896A6D9">
        <w:rPr>
          <w:rFonts w:eastAsia="Calibri"/>
        </w:rPr>
        <w:t>14 por ciento de los puestos ofertados se ocuparon por estas personas</w:t>
      </w:r>
      <w:r w:rsidRPr="3896A6D9">
        <w:rPr>
          <w:rFonts w:eastAsia="Calibri"/>
        </w:rPr>
        <w:t>.</w:t>
      </w:r>
      <w:r w:rsidR="00EE505D" w:rsidRPr="3896A6D9">
        <w:rPr>
          <w:rFonts w:eastAsia="Calibri"/>
        </w:rPr>
        <w:t xml:space="preserve"> </w:t>
      </w:r>
    </w:p>
    <w:p w14:paraId="7921E772" w14:textId="5DF60323" w:rsidR="00BD4E42" w:rsidRDefault="00BD4E42" w:rsidP="3896A6D9">
      <w:pPr>
        <w:pStyle w:val="texto"/>
        <w:spacing w:after="140"/>
        <w:jc w:val="both"/>
        <w:rPr>
          <w:rFonts w:eastAsia="Calibri"/>
        </w:rPr>
      </w:pPr>
      <w:r w:rsidRPr="3896A6D9">
        <w:rPr>
          <w:rFonts w:eastAsia="Calibri"/>
        </w:rPr>
        <w:t xml:space="preserve">Considerando estos datos relativos exclusivamente a las ofertas de trabajo realizadas por entidades locales, podemos concluir que no todas las </w:t>
      </w:r>
      <w:r w:rsidRPr="3896A6D9">
        <w:t>personas</w:t>
      </w:r>
      <w:r w:rsidRPr="3896A6D9">
        <w:rPr>
          <w:rFonts w:eastAsia="Calibri"/>
        </w:rPr>
        <w:t xml:space="preserve"> perceptoras de RG cumplieron con su obligación de acudir a las ofertas de trabajo recibidas</w:t>
      </w:r>
      <w:r w:rsidR="6F6B8372" w:rsidRPr="3896A6D9">
        <w:rPr>
          <w:rFonts w:eastAsia="Calibri"/>
        </w:rPr>
        <w:t xml:space="preserve"> por lo que difícilmente pudieron aceptarlas en su caso</w:t>
      </w:r>
      <w:r w:rsidRPr="3896A6D9">
        <w:rPr>
          <w:rFonts w:eastAsia="Calibri"/>
        </w:rPr>
        <w:t>.</w:t>
      </w:r>
    </w:p>
    <w:p w14:paraId="058D7AD0" w14:textId="77777777" w:rsidR="006B40D8" w:rsidRDefault="006B40D8" w:rsidP="008E08A0">
      <w:pPr>
        <w:pStyle w:val="texto"/>
        <w:spacing w:after="240"/>
        <w:jc w:val="both"/>
        <w:rPr>
          <w:rFonts w:eastAsia="Calibri"/>
          <w:szCs w:val="26"/>
        </w:rPr>
      </w:pPr>
      <w:r>
        <w:rPr>
          <w:rFonts w:eastAsia="Calibri"/>
          <w:szCs w:val="26"/>
        </w:rPr>
        <w:t>En lo que se refiere a las ofertas de empleo adecuadas, la normativa de la Seguridad Social establece los requisitos para que sean consideradas así tal y como se observa en el siguiente cuadro:</w:t>
      </w:r>
    </w:p>
    <w:tbl>
      <w:tblPr>
        <w:tblStyle w:val="Tablaconcuadrcula"/>
        <w:tblW w:w="8789" w:type="dxa"/>
        <w:tblBorders>
          <w:left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3546"/>
        <w:gridCol w:w="5243"/>
      </w:tblGrid>
      <w:tr w:rsidR="00EB22B9" w:rsidRPr="006B40D8" w14:paraId="05B63AC5" w14:textId="77777777" w:rsidTr="0019340C">
        <w:trPr>
          <w:trHeight w:val="255"/>
        </w:trPr>
        <w:tc>
          <w:tcPr>
            <w:tcW w:w="3546" w:type="dxa"/>
            <w:shd w:val="clear" w:color="auto" w:fill="9CC2E5" w:themeFill="accent1" w:themeFillTint="99"/>
            <w:vAlign w:val="center"/>
          </w:tcPr>
          <w:p w14:paraId="46678C2D" w14:textId="3CD9F5F1" w:rsidR="006B40D8" w:rsidRPr="006B40D8" w:rsidRDefault="006B40D8" w:rsidP="00EB22B9">
            <w:pPr>
              <w:pStyle w:val="Default"/>
              <w:rPr>
                <w:rFonts w:ascii="Arial" w:eastAsia="Calibri" w:hAnsi="Arial" w:cs="Arial"/>
                <w:sz w:val="18"/>
                <w:szCs w:val="18"/>
              </w:rPr>
            </w:pPr>
            <w:r w:rsidRPr="006B40D8">
              <w:rPr>
                <w:rFonts w:ascii="Arial" w:eastAsia="Calibri" w:hAnsi="Arial" w:cs="Arial"/>
                <w:sz w:val="18"/>
                <w:szCs w:val="18"/>
              </w:rPr>
              <w:t>Normativa aplicable</w:t>
            </w:r>
          </w:p>
        </w:tc>
        <w:tc>
          <w:tcPr>
            <w:tcW w:w="5243" w:type="dxa"/>
            <w:shd w:val="clear" w:color="auto" w:fill="9CC2E5" w:themeFill="accent1" w:themeFillTint="99"/>
          </w:tcPr>
          <w:p w14:paraId="0D7968CD" w14:textId="16F71F9F" w:rsidR="006B40D8" w:rsidRPr="006B40D8" w:rsidRDefault="006B40D8" w:rsidP="006B40D8">
            <w:pPr>
              <w:pStyle w:val="Default"/>
              <w:jc w:val="both"/>
              <w:rPr>
                <w:rFonts w:ascii="Arial" w:eastAsia="Calibri" w:hAnsi="Arial" w:cs="Arial"/>
                <w:sz w:val="18"/>
                <w:szCs w:val="18"/>
              </w:rPr>
            </w:pPr>
            <w:r w:rsidRPr="006B40D8">
              <w:rPr>
                <w:rFonts w:ascii="Arial" w:eastAsia="Calibri" w:hAnsi="Arial" w:cs="Arial"/>
                <w:sz w:val="18"/>
                <w:szCs w:val="18"/>
              </w:rPr>
              <w:t>Requisitos oferta empleo adecuada</w:t>
            </w:r>
          </w:p>
        </w:tc>
      </w:tr>
      <w:tr w:rsidR="006B40D8" w14:paraId="2CBB99CD" w14:textId="77777777" w:rsidTr="0019340C">
        <w:trPr>
          <w:trHeight w:val="198"/>
        </w:trPr>
        <w:tc>
          <w:tcPr>
            <w:tcW w:w="3546" w:type="dxa"/>
            <w:vMerge w:val="restart"/>
            <w:vAlign w:val="center"/>
          </w:tcPr>
          <w:p w14:paraId="3AF9572E" w14:textId="12CAEEC1" w:rsidR="006B40D8" w:rsidRPr="006B40D8" w:rsidRDefault="006B40D8" w:rsidP="00EB22B9">
            <w:pPr>
              <w:pStyle w:val="Default"/>
              <w:rPr>
                <w:rFonts w:ascii="Arial Narrow" w:eastAsia="Calibri" w:hAnsi="Arial Narrow" w:cs="Times New Roman"/>
              </w:rPr>
            </w:pPr>
            <w:r w:rsidRPr="006B40D8">
              <w:rPr>
                <w:rFonts w:ascii="Arial Narrow" w:eastAsia="Calibri" w:hAnsi="Arial Narrow" w:cs="Times New Roman"/>
              </w:rPr>
              <w:t>Hasta marzo de 2023, artículo 301 del Real Decreto Legislativo 8/2015 por el que se aprueba la Ley General de la Seguridad Social</w:t>
            </w:r>
          </w:p>
        </w:tc>
        <w:tc>
          <w:tcPr>
            <w:tcW w:w="5243" w:type="dxa"/>
            <w:tcBorders>
              <w:bottom w:val="single" w:sz="2" w:space="0" w:color="auto"/>
            </w:tcBorders>
          </w:tcPr>
          <w:p w14:paraId="0A9261B9" w14:textId="430FE5E5" w:rsidR="006B40D8" w:rsidRPr="006B40D8" w:rsidRDefault="006B40D8" w:rsidP="006B40D8">
            <w:pPr>
              <w:pStyle w:val="Default"/>
              <w:jc w:val="both"/>
              <w:rPr>
                <w:rFonts w:ascii="Arial Narrow" w:eastAsia="Calibri" w:hAnsi="Arial Narrow" w:cs="Times New Roman"/>
              </w:rPr>
            </w:pPr>
            <w:r w:rsidRPr="006B40D8">
              <w:rPr>
                <w:rFonts w:ascii="Arial Narrow" w:eastAsia="Calibri" w:hAnsi="Arial Narrow" w:cs="Times New Roman"/>
              </w:rPr>
              <w:t>Que se corresponda con la profesión habitual o que se ajuste a sus aptitudes físicas y formativas.</w:t>
            </w:r>
          </w:p>
        </w:tc>
      </w:tr>
      <w:tr w:rsidR="006B40D8" w14:paraId="2672D909" w14:textId="77777777" w:rsidTr="0019340C">
        <w:trPr>
          <w:trHeight w:val="198"/>
        </w:trPr>
        <w:tc>
          <w:tcPr>
            <w:tcW w:w="3546" w:type="dxa"/>
            <w:vMerge/>
            <w:vAlign w:val="center"/>
          </w:tcPr>
          <w:p w14:paraId="34080BAA" w14:textId="77777777" w:rsidR="006B40D8" w:rsidRPr="006B40D8" w:rsidRDefault="006B40D8" w:rsidP="00EB22B9">
            <w:pPr>
              <w:pStyle w:val="Default"/>
              <w:rPr>
                <w:rFonts w:ascii="Arial Narrow" w:eastAsia="Calibri" w:hAnsi="Arial Narrow" w:cs="Times New Roman"/>
              </w:rPr>
            </w:pPr>
          </w:p>
        </w:tc>
        <w:tc>
          <w:tcPr>
            <w:tcW w:w="5243" w:type="dxa"/>
            <w:tcBorders>
              <w:top w:val="single" w:sz="2" w:space="0" w:color="auto"/>
              <w:bottom w:val="single" w:sz="2" w:space="0" w:color="auto"/>
            </w:tcBorders>
          </w:tcPr>
          <w:p w14:paraId="33B44975" w14:textId="5FBDBA3A" w:rsidR="006B40D8" w:rsidRPr="006B40D8" w:rsidRDefault="006B40D8" w:rsidP="006B40D8">
            <w:pPr>
              <w:pStyle w:val="Default"/>
              <w:jc w:val="both"/>
              <w:rPr>
                <w:rFonts w:ascii="Arial Narrow" w:eastAsia="Calibri" w:hAnsi="Arial Narrow" w:cs="Times New Roman"/>
              </w:rPr>
            </w:pPr>
            <w:r w:rsidRPr="006B40D8">
              <w:rPr>
                <w:rFonts w:ascii="Arial Narrow" w:eastAsia="Calibri" w:hAnsi="Arial Narrow" w:cs="Times New Roman"/>
              </w:rPr>
              <w:t>Oferta para el lugar de residencia habitual o en otra localidad en un radio menor a 30 km.</w:t>
            </w:r>
          </w:p>
        </w:tc>
      </w:tr>
      <w:tr w:rsidR="006B40D8" w14:paraId="32C0A997" w14:textId="77777777" w:rsidTr="0019340C">
        <w:trPr>
          <w:trHeight w:val="198"/>
        </w:trPr>
        <w:tc>
          <w:tcPr>
            <w:tcW w:w="3546" w:type="dxa"/>
            <w:vMerge/>
            <w:vAlign w:val="center"/>
          </w:tcPr>
          <w:p w14:paraId="1EFCE558" w14:textId="77777777" w:rsidR="006B40D8" w:rsidRPr="006B40D8" w:rsidRDefault="006B40D8" w:rsidP="00EB22B9">
            <w:pPr>
              <w:pStyle w:val="Default"/>
              <w:rPr>
                <w:rFonts w:ascii="Arial Narrow" w:eastAsia="Calibri" w:hAnsi="Arial Narrow" w:cs="Times New Roman"/>
              </w:rPr>
            </w:pPr>
          </w:p>
        </w:tc>
        <w:tc>
          <w:tcPr>
            <w:tcW w:w="5243" w:type="dxa"/>
            <w:tcBorders>
              <w:top w:val="single" w:sz="2" w:space="0" w:color="auto"/>
            </w:tcBorders>
          </w:tcPr>
          <w:p w14:paraId="66F727D9" w14:textId="7104C2F4" w:rsidR="006B40D8" w:rsidRPr="006B40D8" w:rsidRDefault="006B40D8" w:rsidP="006B40D8">
            <w:pPr>
              <w:pStyle w:val="Default"/>
              <w:jc w:val="both"/>
              <w:rPr>
                <w:rFonts w:ascii="Arial Narrow" w:eastAsia="Calibri" w:hAnsi="Arial Narrow" w:cs="Times New Roman"/>
              </w:rPr>
            </w:pPr>
            <w:r w:rsidRPr="006B40D8">
              <w:rPr>
                <w:rFonts w:ascii="Arial Narrow" w:eastAsia="Calibri" w:hAnsi="Arial Narrow" w:cs="Times New Roman"/>
              </w:rPr>
              <w:t>Consideración de circunstancias personales y conciliación vida laboral y familiar</w:t>
            </w:r>
          </w:p>
        </w:tc>
      </w:tr>
      <w:tr w:rsidR="00EB22B9" w14:paraId="453FC257" w14:textId="77777777" w:rsidTr="0019340C">
        <w:trPr>
          <w:trHeight w:val="198"/>
        </w:trPr>
        <w:tc>
          <w:tcPr>
            <w:tcW w:w="3546" w:type="dxa"/>
            <w:vMerge w:val="restart"/>
            <w:vAlign w:val="center"/>
          </w:tcPr>
          <w:p w14:paraId="2436E611" w14:textId="4199D3E8" w:rsidR="00EB22B9" w:rsidRPr="006B40D8" w:rsidRDefault="00EB22B9" w:rsidP="00EB22B9">
            <w:pPr>
              <w:pStyle w:val="Default"/>
              <w:rPr>
                <w:rFonts w:ascii="Arial Narrow" w:eastAsia="Calibri" w:hAnsi="Arial Narrow" w:cs="Times New Roman"/>
              </w:rPr>
            </w:pPr>
            <w:r>
              <w:rPr>
                <w:rFonts w:ascii="Arial Narrow" w:eastAsia="Calibri" w:hAnsi="Arial Narrow" w:cs="Times New Roman"/>
              </w:rPr>
              <w:t>A partir de marzo de 2023, el artículo 301 citado remite al artículo 3 de la Ley 3/2023, de 28 de febrero de Empleo.</w:t>
            </w:r>
          </w:p>
        </w:tc>
        <w:tc>
          <w:tcPr>
            <w:tcW w:w="5243" w:type="dxa"/>
          </w:tcPr>
          <w:p w14:paraId="6924D657" w14:textId="79B5CBE6" w:rsidR="00EB22B9" w:rsidRPr="006B40D8" w:rsidRDefault="00EB22B9" w:rsidP="006B40D8">
            <w:pPr>
              <w:pStyle w:val="Default"/>
              <w:jc w:val="both"/>
              <w:rPr>
                <w:rFonts w:ascii="Arial Narrow" w:eastAsia="Calibri" w:hAnsi="Arial Narrow" w:cs="Times New Roman"/>
              </w:rPr>
            </w:pPr>
            <w:r w:rsidRPr="3896A6D9">
              <w:rPr>
                <w:rFonts w:ascii="Arial Narrow" w:eastAsia="Calibri" w:hAnsi="Arial Narrow" w:cs="Times New Roman"/>
              </w:rPr>
              <w:t>Que se corresponda con la formación, características, experiencia previa, intereses laborales o que se ajuste a las aptitudes físicas y formativas.</w:t>
            </w:r>
          </w:p>
        </w:tc>
      </w:tr>
      <w:tr w:rsidR="00EB22B9" w14:paraId="775FFBD7" w14:textId="77777777" w:rsidTr="0019340C">
        <w:trPr>
          <w:trHeight w:val="198"/>
        </w:trPr>
        <w:tc>
          <w:tcPr>
            <w:tcW w:w="3546" w:type="dxa"/>
            <w:vMerge/>
          </w:tcPr>
          <w:p w14:paraId="3A0F4B50" w14:textId="77777777" w:rsidR="00EB22B9" w:rsidRPr="006B40D8" w:rsidRDefault="00EB22B9" w:rsidP="006B40D8">
            <w:pPr>
              <w:pStyle w:val="Default"/>
              <w:jc w:val="both"/>
              <w:rPr>
                <w:rFonts w:ascii="Arial Narrow" w:eastAsia="Calibri" w:hAnsi="Arial Narrow" w:cs="Times New Roman"/>
              </w:rPr>
            </w:pPr>
          </w:p>
        </w:tc>
        <w:tc>
          <w:tcPr>
            <w:tcW w:w="5243" w:type="dxa"/>
          </w:tcPr>
          <w:p w14:paraId="77C90F61" w14:textId="3F4B2443" w:rsidR="00EB22B9" w:rsidRPr="006B40D8" w:rsidRDefault="00EB22B9" w:rsidP="006B40D8">
            <w:pPr>
              <w:pStyle w:val="Default"/>
              <w:jc w:val="both"/>
              <w:rPr>
                <w:rFonts w:ascii="Arial Narrow" w:eastAsia="Calibri" w:hAnsi="Arial Narrow" w:cs="Times New Roman"/>
              </w:rPr>
            </w:pPr>
            <w:r w:rsidRPr="3896A6D9">
              <w:rPr>
                <w:rFonts w:ascii="Arial Narrow" w:eastAsia="Calibri" w:hAnsi="Arial Narrow" w:cs="Times New Roman"/>
              </w:rPr>
              <w:t xml:space="preserve">Contrato indefinido, si bien considera que se pueden incluir contratos de duración determinada y a jornada parcial si así se ha aceptado expresamente en el itinerario de inserción establecido. </w:t>
            </w:r>
          </w:p>
        </w:tc>
      </w:tr>
    </w:tbl>
    <w:p w14:paraId="54E167AD" w14:textId="24D9B435" w:rsidR="006B40D8" w:rsidRPr="009E43FD" w:rsidRDefault="00EB22B9" w:rsidP="5AD4D6FB">
      <w:pPr>
        <w:pStyle w:val="texto"/>
        <w:spacing w:before="240" w:after="140"/>
        <w:jc w:val="both"/>
        <w:rPr>
          <w:rFonts w:eastAsia="Calibri"/>
        </w:rPr>
      </w:pPr>
      <w:r w:rsidRPr="009E43FD">
        <w:rPr>
          <w:rFonts w:eastAsia="Calibri"/>
        </w:rPr>
        <w:lastRenderedPageBreak/>
        <w:t xml:space="preserve">Los requisitos exigidos para una oferta de empleo adecuada podrían estar limitando la posibilidad de ofrecer contratos a estas personas, ya que </w:t>
      </w:r>
      <w:r w:rsidRPr="004346B5">
        <w:rPr>
          <w:rFonts w:eastAsia="Calibri"/>
        </w:rPr>
        <w:t>a priori</w:t>
      </w:r>
      <w:r w:rsidRPr="009E43FD">
        <w:rPr>
          <w:rFonts w:eastAsia="Calibri"/>
        </w:rPr>
        <w:t xml:space="preserve"> podría resultar complicado que cumplieran todos ellos. </w:t>
      </w:r>
    </w:p>
    <w:p w14:paraId="00F086F4" w14:textId="77777777" w:rsidR="00FE1F21" w:rsidRDefault="62A9032F" w:rsidP="00AF2EA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szCs w:val="26"/>
        </w:rPr>
      </w:pPr>
      <w:r w:rsidRPr="00E94F74">
        <w:rPr>
          <w:rFonts w:eastAsia="Calibri"/>
          <w:i/>
          <w:iCs/>
          <w:szCs w:val="26"/>
        </w:rPr>
        <w:t>Participar en las actividades de inserción socio-laboral que los SSB, servicios sociales especializados o servicios de empleo les propongan.</w:t>
      </w:r>
      <w:r w:rsidRPr="5D8B6717">
        <w:rPr>
          <w:rFonts w:eastAsia="Calibri"/>
          <w:szCs w:val="26"/>
        </w:rPr>
        <w:t xml:space="preserve"> </w:t>
      </w:r>
    </w:p>
    <w:p w14:paraId="773464E7" w14:textId="5A1A1156" w:rsidR="00314B01" w:rsidRDefault="00F946E1" w:rsidP="3896A6D9">
      <w:pPr>
        <w:pStyle w:val="texto"/>
        <w:spacing w:after="140"/>
        <w:jc w:val="both"/>
        <w:rPr>
          <w:rFonts w:eastAsia="Calibri"/>
        </w:rPr>
      </w:pPr>
      <w:r w:rsidRPr="3896A6D9">
        <w:rPr>
          <w:rFonts w:eastAsia="Calibri"/>
        </w:rPr>
        <w:t xml:space="preserve">La </w:t>
      </w:r>
      <w:r w:rsidR="00305A33" w:rsidRPr="3896A6D9">
        <w:rPr>
          <w:rFonts w:eastAsia="Calibri"/>
        </w:rPr>
        <w:t>base de datos que nos facilitó</w:t>
      </w:r>
      <w:r w:rsidRPr="3896A6D9">
        <w:rPr>
          <w:rFonts w:eastAsia="Calibri"/>
        </w:rPr>
        <w:t xml:space="preserve"> el </w:t>
      </w:r>
      <w:r w:rsidR="00071606" w:rsidRPr="3896A6D9">
        <w:rPr>
          <w:rFonts w:eastAsia="Calibri"/>
        </w:rPr>
        <w:t xml:space="preserve">Servicio de Activación Laboral y Coordinación </w:t>
      </w:r>
      <w:r w:rsidR="00071606" w:rsidRPr="3896A6D9">
        <w:t>Territorial</w:t>
      </w:r>
      <w:r w:rsidR="00071606" w:rsidRPr="3896A6D9">
        <w:rPr>
          <w:rFonts w:eastAsia="Calibri"/>
        </w:rPr>
        <w:t xml:space="preserve"> del SNE</w:t>
      </w:r>
      <w:r w:rsidRPr="3896A6D9">
        <w:rPr>
          <w:rFonts w:eastAsia="Calibri"/>
        </w:rPr>
        <w:t xml:space="preserve"> </w:t>
      </w:r>
      <w:r w:rsidR="00305A33" w:rsidRPr="3896A6D9">
        <w:rPr>
          <w:rFonts w:eastAsia="Calibri"/>
        </w:rPr>
        <w:t xml:space="preserve">solo contiene información </w:t>
      </w:r>
      <w:r w:rsidRPr="3896A6D9">
        <w:rPr>
          <w:rFonts w:eastAsia="Calibri"/>
        </w:rPr>
        <w:t>sobre las actividades propuestas a las personas beneficiarias de la RG que han acudido a las actividades propuestas</w:t>
      </w:r>
      <w:r w:rsidR="00071606" w:rsidRPr="3896A6D9">
        <w:rPr>
          <w:rFonts w:eastAsia="Calibri"/>
        </w:rPr>
        <w:t>,</w:t>
      </w:r>
      <w:r w:rsidRPr="3896A6D9">
        <w:rPr>
          <w:rFonts w:eastAsia="Calibri"/>
        </w:rPr>
        <w:t xml:space="preserve"> sin que conste información sobre las que no lo han hecho.</w:t>
      </w:r>
      <w:r w:rsidR="00305A33" w:rsidRPr="3896A6D9">
        <w:rPr>
          <w:rFonts w:eastAsia="Calibri"/>
        </w:rPr>
        <w:t xml:space="preserve"> </w:t>
      </w:r>
    </w:p>
    <w:p w14:paraId="195C584B" w14:textId="375108C9" w:rsidR="00305A33" w:rsidRDefault="00305A33" w:rsidP="00A215EC">
      <w:pPr>
        <w:pStyle w:val="texto"/>
        <w:spacing w:after="140"/>
        <w:jc w:val="both"/>
        <w:rPr>
          <w:rFonts w:eastAsia="Calibri"/>
          <w:szCs w:val="26"/>
        </w:rPr>
      </w:pPr>
      <w:r>
        <w:rPr>
          <w:rFonts w:eastAsia="Calibri"/>
          <w:szCs w:val="26"/>
        </w:rPr>
        <w:t xml:space="preserve">En los casos en los que la </w:t>
      </w:r>
      <w:r w:rsidRPr="00A215EC">
        <w:rPr>
          <w:lang w:val="es-ES_tradnl"/>
        </w:rPr>
        <w:t>persona</w:t>
      </w:r>
      <w:r>
        <w:rPr>
          <w:rFonts w:eastAsia="Calibri"/>
          <w:szCs w:val="26"/>
        </w:rPr>
        <w:t xml:space="preserve"> no acude, esta circunstancia no se refleja </w:t>
      </w:r>
      <w:r w:rsidR="001E1859">
        <w:rPr>
          <w:rFonts w:eastAsia="Calibri"/>
          <w:szCs w:val="26"/>
        </w:rPr>
        <w:t xml:space="preserve">adecuadamente </w:t>
      </w:r>
      <w:r>
        <w:rPr>
          <w:rFonts w:eastAsia="Calibri"/>
          <w:szCs w:val="26"/>
        </w:rPr>
        <w:t>en el sistema</w:t>
      </w:r>
      <w:r w:rsidR="001E1859">
        <w:rPr>
          <w:rFonts w:eastAsia="Calibri"/>
          <w:szCs w:val="26"/>
        </w:rPr>
        <w:t xml:space="preserve"> recogiéndose en un campo de observaciones sin que pueda realizarse una explotación automatizada de dicha información</w:t>
      </w:r>
      <w:r w:rsidR="001E1859">
        <w:rPr>
          <w:rStyle w:val="Refdenotaalpie"/>
          <w:rFonts w:eastAsia="Calibri"/>
          <w:szCs w:val="26"/>
        </w:rPr>
        <w:footnoteReference w:id="14"/>
      </w:r>
      <w:r w:rsidR="001E1859">
        <w:rPr>
          <w:rFonts w:eastAsia="Calibri"/>
          <w:szCs w:val="26"/>
        </w:rPr>
        <w:t>. Estas ausencias se recogen en</w:t>
      </w:r>
      <w:r>
        <w:rPr>
          <w:rFonts w:eastAsia="Calibri"/>
          <w:szCs w:val="26"/>
        </w:rPr>
        <w:t xml:space="preserve"> un archivo Excel</w:t>
      </w:r>
      <w:r w:rsidR="001E1859">
        <w:rPr>
          <w:rFonts w:eastAsia="Calibri"/>
          <w:szCs w:val="26"/>
        </w:rPr>
        <w:t xml:space="preserve"> que se remite</w:t>
      </w:r>
      <w:r>
        <w:rPr>
          <w:rFonts w:eastAsia="Calibri"/>
          <w:szCs w:val="26"/>
        </w:rPr>
        <w:t xml:space="preserve"> al Servicio de Asistencia y Gestión Administrativa del SNE para que se encargue de realizar las llamadas oportunas a dichas personas. Si las personas no atienden estas llamadas o no proporcionan una justificación adecuada, se remite esta información a la sección para que proceda a la suspensión de la prestación hasta que se produzcan las alegaciones correspondientes. </w:t>
      </w:r>
    </w:p>
    <w:p w14:paraId="776A186D" w14:textId="7786990E" w:rsidR="00E558C5" w:rsidRDefault="00144AE1" w:rsidP="00F91EC5">
      <w:pPr>
        <w:pStyle w:val="Default"/>
        <w:spacing w:before="120" w:after="120"/>
        <w:ind w:firstLine="284"/>
        <w:jc w:val="both"/>
        <w:rPr>
          <w:rFonts w:ascii="Times New Roman" w:eastAsia="Calibri" w:hAnsi="Times New Roman" w:cs="Times New Roman"/>
          <w:sz w:val="26"/>
          <w:szCs w:val="26"/>
        </w:rPr>
      </w:pPr>
      <w:r>
        <w:rPr>
          <w:rFonts w:ascii="Times New Roman" w:eastAsia="Calibri" w:hAnsi="Times New Roman" w:cs="Times New Roman"/>
          <w:sz w:val="26"/>
          <w:szCs w:val="26"/>
        </w:rPr>
        <w:t>Según los datos proporcionados por el Servicio de Asistencia y Gestión Administrativa del SNE, en el conjunto del periodo</w:t>
      </w:r>
      <w:r w:rsidR="00E82F24">
        <w:rPr>
          <w:rFonts w:ascii="Times New Roman" w:eastAsia="Calibri" w:hAnsi="Times New Roman" w:cs="Times New Roman"/>
          <w:sz w:val="26"/>
          <w:szCs w:val="26"/>
        </w:rPr>
        <w:t xml:space="preserve"> 625 </w:t>
      </w:r>
      <w:r w:rsidR="004346B5">
        <w:rPr>
          <w:rFonts w:ascii="Times New Roman" w:eastAsia="Calibri" w:hAnsi="Times New Roman" w:cs="Times New Roman"/>
          <w:sz w:val="26"/>
          <w:szCs w:val="26"/>
        </w:rPr>
        <w:t>personas no</w:t>
      </w:r>
      <w:r>
        <w:rPr>
          <w:rFonts w:ascii="Times New Roman" w:eastAsia="Calibri" w:hAnsi="Times New Roman" w:cs="Times New Roman"/>
          <w:sz w:val="26"/>
          <w:szCs w:val="26"/>
        </w:rPr>
        <w:t xml:space="preserve"> acudieron a citas de </w:t>
      </w:r>
      <w:r w:rsidR="004346B5">
        <w:rPr>
          <w:rFonts w:ascii="Times New Roman" w:eastAsia="Calibri" w:hAnsi="Times New Roman" w:cs="Times New Roman"/>
          <w:sz w:val="26"/>
          <w:szCs w:val="26"/>
        </w:rPr>
        <w:t>orientación.</w:t>
      </w:r>
      <w:r w:rsidR="00F91EC5">
        <w:rPr>
          <w:rFonts w:ascii="Times New Roman" w:eastAsia="Calibri" w:hAnsi="Times New Roman" w:cs="Times New Roman"/>
          <w:sz w:val="26"/>
          <w:szCs w:val="26"/>
        </w:rPr>
        <w:t xml:space="preserve"> Teniendo en cuenta este dato más el referido a las personas que no acuden a las ofertas de trabajo propuestas, consideramos que esta obligación no se cumple en todos los casos. </w:t>
      </w:r>
    </w:p>
    <w:p w14:paraId="6B086050" w14:textId="6C40EF51" w:rsidR="002B4002" w:rsidRDefault="62A9032F" w:rsidP="00AF2EA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i/>
          <w:iCs/>
          <w:szCs w:val="26"/>
        </w:rPr>
      </w:pPr>
      <w:r w:rsidRPr="00E94F74">
        <w:rPr>
          <w:rFonts w:eastAsia="Calibri"/>
          <w:i/>
          <w:iCs/>
          <w:szCs w:val="26"/>
        </w:rPr>
        <w:t xml:space="preserve">Comunicar cualquier cambio en las circunstancias de la unidad perceptora que se hayan tenido en cuenta para la concesión de la RG en el plazo de quince días hábiles desde que se produzcan tales cambios. </w:t>
      </w:r>
    </w:p>
    <w:p w14:paraId="0454A010" w14:textId="77777777" w:rsidR="00FE1F21" w:rsidRPr="002B4002" w:rsidRDefault="62A9032F" w:rsidP="00AF2EA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i/>
          <w:iCs/>
          <w:szCs w:val="26"/>
        </w:rPr>
      </w:pPr>
      <w:r w:rsidRPr="002B4002">
        <w:rPr>
          <w:rFonts w:eastAsia="Calibri"/>
          <w:i/>
          <w:iCs/>
          <w:szCs w:val="26"/>
        </w:rPr>
        <w:t xml:space="preserve">Comunicar cualquier cambio de domicilio habitual de la unidad perceptora en el plazo de quince días hábiles desde que se produzca el hecho. </w:t>
      </w:r>
    </w:p>
    <w:p w14:paraId="4A970E3D" w14:textId="77777777" w:rsidR="001D3F60" w:rsidRDefault="002B4002" w:rsidP="00A215EC">
      <w:pPr>
        <w:pStyle w:val="texto"/>
        <w:spacing w:after="140"/>
        <w:jc w:val="both"/>
        <w:rPr>
          <w:rFonts w:eastAsia="Calibri"/>
          <w:szCs w:val="26"/>
          <w:lang w:val="es-ES_tradnl"/>
        </w:rPr>
      </w:pPr>
      <w:r>
        <w:rPr>
          <w:rFonts w:eastAsia="Calibri"/>
          <w:szCs w:val="26"/>
          <w:lang w:val="es-ES_tradnl"/>
        </w:rPr>
        <w:t xml:space="preserve">De acuerdo a los datos existentes en SIPSS, 2.044 expedientes fueron dados de baja previamente a la </w:t>
      </w:r>
      <w:r w:rsidRPr="00A215EC">
        <w:rPr>
          <w:lang w:val="es-ES_tradnl"/>
        </w:rPr>
        <w:t>fecha</w:t>
      </w:r>
      <w:r>
        <w:rPr>
          <w:rFonts w:eastAsia="Calibri"/>
          <w:szCs w:val="26"/>
          <w:lang w:val="es-ES_tradnl"/>
        </w:rPr>
        <w:t xml:space="preserve"> final de concesión, debido a que no se habían comunicado los cambios a los que se aluden en las obligaciones anteriores. </w:t>
      </w:r>
    </w:p>
    <w:p w14:paraId="2C900575" w14:textId="3B299376" w:rsidR="00EB22B9" w:rsidRDefault="002B4002" w:rsidP="00A215EC">
      <w:pPr>
        <w:pStyle w:val="texto"/>
        <w:spacing w:after="140"/>
        <w:jc w:val="both"/>
        <w:rPr>
          <w:rFonts w:eastAsia="Calibri"/>
          <w:szCs w:val="26"/>
          <w:lang w:val="es-ES_tradnl"/>
        </w:rPr>
      </w:pPr>
      <w:r>
        <w:rPr>
          <w:rFonts w:eastAsia="Calibri"/>
          <w:szCs w:val="26"/>
          <w:lang w:val="es-ES_tradnl"/>
        </w:rPr>
        <w:t>Por este motivo consideramos que estas obligaciones no se están cumpliendo en todos los casos por parte de las unidades familiares perceptoras de RG.</w:t>
      </w:r>
    </w:p>
    <w:p w14:paraId="3D7BE9F0" w14:textId="77777777" w:rsidR="00FE1F21" w:rsidRPr="00E94F74" w:rsidRDefault="62A9032F" w:rsidP="00AF2EA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i/>
          <w:iCs/>
          <w:szCs w:val="26"/>
        </w:rPr>
      </w:pPr>
      <w:r w:rsidRPr="00E94F74">
        <w:rPr>
          <w:rFonts w:eastAsia="Calibri"/>
          <w:i/>
          <w:iCs/>
          <w:szCs w:val="26"/>
        </w:rPr>
        <w:t xml:space="preserve">Reintegrar los abonos percibidos indebidamente. </w:t>
      </w:r>
    </w:p>
    <w:p w14:paraId="42900097" w14:textId="77777777" w:rsidR="00EB22B9" w:rsidRDefault="00C557AC" w:rsidP="00A215EC">
      <w:pPr>
        <w:pStyle w:val="texto"/>
        <w:spacing w:after="140"/>
        <w:jc w:val="both"/>
        <w:rPr>
          <w:szCs w:val="26"/>
        </w:rPr>
      </w:pPr>
      <w:r w:rsidRPr="00AB0B94">
        <w:rPr>
          <w:szCs w:val="26"/>
        </w:rPr>
        <w:t xml:space="preserve">El control realizado por el personal del departamento puede conllevar la tramitación de expedientes de reintegro. Los cobros pueden ingresarse en el </w:t>
      </w:r>
      <w:r w:rsidRPr="00AB0B94">
        <w:rPr>
          <w:szCs w:val="26"/>
        </w:rPr>
        <w:lastRenderedPageBreak/>
        <w:t xml:space="preserve">mismo departamento o en la Hacienda Foral de Navarra en caso de fraccionamientos o pago de deudas fuera de plazo. </w:t>
      </w:r>
    </w:p>
    <w:p w14:paraId="6A7752E6" w14:textId="6630F777" w:rsidR="00C557AC" w:rsidRPr="00AB0B94" w:rsidRDefault="00C557AC" w:rsidP="00AF2EA1">
      <w:pPr>
        <w:pStyle w:val="texto"/>
        <w:spacing w:after="240"/>
        <w:jc w:val="both"/>
        <w:rPr>
          <w:szCs w:val="26"/>
        </w:rPr>
      </w:pPr>
      <w:r w:rsidRPr="00AB0B94">
        <w:rPr>
          <w:szCs w:val="26"/>
        </w:rPr>
        <w:t xml:space="preserve">En el periodo analizado </w:t>
      </w:r>
      <w:r w:rsidR="002E0C69">
        <w:rPr>
          <w:szCs w:val="26"/>
        </w:rPr>
        <w:t>el departamento</w:t>
      </w:r>
      <w:r w:rsidRPr="00AB0B94">
        <w:rPr>
          <w:szCs w:val="26"/>
        </w:rPr>
        <w:t xml:space="preserve"> tramit</w:t>
      </w:r>
      <w:r w:rsidR="002E0C69">
        <w:rPr>
          <w:szCs w:val="26"/>
        </w:rPr>
        <w:t>ó</w:t>
      </w:r>
      <w:r w:rsidRPr="00AB0B94">
        <w:rPr>
          <w:szCs w:val="26"/>
        </w:rPr>
        <w:t xml:space="preserve"> expedientes de reintegro por un total de 14,79 millones según </w:t>
      </w:r>
      <w:r w:rsidRPr="00A215EC">
        <w:rPr>
          <w:lang w:val="es-ES_tradnl"/>
        </w:rPr>
        <w:t>el</w:t>
      </w:r>
      <w:r w:rsidRPr="00AB0B94">
        <w:rPr>
          <w:szCs w:val="26"/>
        </w:rPr>
        <w:t xml:space="preserve"> siguiente detalle:</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637"/>
        <w:gridCol w:w="1230"/>
        <w:gridCol w:w="1230"/>
        <w:gridCol w:w="1231"/>
        <w:gridCol w:w="1230"/>
        <w:gridCol w:w="1231"/>
      </w:tblGrid>
      <w:tr w:rsidR="00C557AC" w:rsidRPr="00AB0B94" w14:paraId="59A4F558" w14:textId="77777777" w:rsidTr="000D79F2">
        <w:trPr>
          <w:trHeight w:val="255"/>
        </w:trPr>
        <w:tc>
          <w:tcPr>
            <w:tcW w:w="2637" w:type="dxa"/>
            <w:shd w:val="clear" w:color="auto" w:fill="9CC2E5" w:themeFill="accent1" w:themeFillTint="99"/>
            <w:noWrap/>
            <w:vAlign w:val="center"/>
          </w:tcPr>
          <w:p w14:paraId="3A0FF5F2" w14:textId="77777777" w:rsidR="00C557AC" w:rsidRPr="00AB0B94" w:rsidRDefault="00C557AC" w:rsidP="0006064E">
            <w:pPr>
              <w:rPr>
                <w:rFonts w:ascii="Arial" w:hAnsi="Arial" w:cs="Arial"/>
                <w:color w:val="000000"/>
                <w:sz w:val="18"/>
                <w:szCs w:val="18"/>
              </w:rPr>
            </w:pPr>
          </w:p>
        </w:tc>
        <w:tc>
          <w:tcPr>
            <w:tcW w:w="1230" w:type="dxa"/>
            <w:shd w:val="clear" w:color="auto" w:fill="9CC2E5" w:themeFill="accent1" w:themeFillTint="99"/>
            <w:noWrap/>
            <w:vAlign w:val="center"/>
          </w:tcPr>
          <w:p w14:paraId="17F44751" w14:textId="77777777" w:rsidR="00C557AC" w:rsidRPr="00AB0B94" w:rsidRDefault="00C557AC" w:rsidP="0006064E">
            <w:pPr>
              <w:jc w:val="right"/>
              <w:rPr>
                <w:rFonts w:ascii="Arial" w:hAnsi="Arial" w:cs="Arial"/>
                <w:color w:val="000000"/>
                <w:sz w:val="18"/>
                <w:szCs w:val="18"/>
              </w:rPr>
            </w:pPr>
            <w:r w:rsidRPr="00AB0B94">
              <w:rPr>
                <w:rFonts w:ascii="Arial" w:hAnsi="Arial" w:cs="Arial"/>
                <w:color w:val="000000"/>
                <w:sz w:val="18"/>
                <w:szCs w:val="18"/>
              </w:rPr>
              <w:t>2019</w:t>
            </w:r>
          </w:p>
        </w:tc>
        <w:tc>
          <w:tcPr>
            <w:tcW w:w="1230" w:type="dxa"/>
            <w:shd w:val="clear" w:color="auto" w:fill="9CC2E5" w:themeFill="accent1" w:themeFillTint="99"/>
            <w:noWrap/>
            <w:vAlign w:val="center"/>
          </w:tcPr>
          <w:p w14:paraId="74519F6D" w14:textId="77777777" w:rsidR="00C557AC" w:rsidRPr="00AB0B94" w:rsidRDefault="00C557AC" w:rsidP="0006064E">
            <w:pPr>
              <w:jc w:val="right"/>
              <w:rPr>
                <w:rFonts w:ascii="Arial" w:hAnsi="Arial" w:cs="Arial"/>
                <w:color w:val="000000"/>
                <w:sz w:val="18"/>
                <w:szCs w:val="18"/>
              </w:rPr>
            </w:pPr>
            <w:r w:rsidRPr="00AB0B94">
              <w:rPr>
                <w:rFonts w:ascii="Arial" w:hAnsi="Arial" w:cs="Arial"/>
                <w:color w:val="000000"/>
                <w:sz w:val="18"/>
                <w:szCs w:val="18"/>
              </w:rPr>
              <w:t>2020</w:t>
            </w:r>
          </w:p>
        </w:tc>
        <w:tc>
          <w:tcPr>
            <w:tcW w:w="1231" w:type="dxa"/>
            <w:shd w:val="clear" w:color="auto" w:fill="9CC2E5" w:themeFill="accent1" w:themeFillTint="99"/>
            <w:noWrap/>
            <w:vAlign w:val="center"/>
          </w:tcPr>
          <w:p w14:paraId="62DDAFF6" w14:textId="77777777" w:rsidR="00C557AC" w:rsidRPr="00AB0B94" w:rsidRDefault="00C557AC" w:rsidP="0006064E">
            <w:pPr>
              <w:jc w:val="right"/>
              <w:rPr>
                <w:rFonts w:ascii="Arial" w:hAnsi="Arial" w:cs="Arial"/>
                <w:color w:val="000000"/>
                <w:sz w:val="18"/>
                <w:szCs w:val="18"/>
              </w:rPr>
            </w:pPr>
            <w:r w:rsidRPr="00AB0B94">
              <w:rPr>
                <w:rFonts w:ascii="Arial" w:hAnsi="Arial" w:cs="Arial"/>
                <w:color w:val="000000"/>
                <w:sz w:val="18"/>
                <w:szCs w:val="18"/>
              </w:rPr>
              <w:t>2021</w:t>
            </w:r>
          </w:p>
        </w:tc>
        <w:tc>
          <w:tcPr>
            <w:tcW w:w="1230" w:type="dxa"/>
            <w:shd w:val="clear" w:color="auto" w:fill="9CC2E5" w:themeFill="accent1" w:themeFillTint="99"/>
            <w:noWrap/>
            <w:vAlign w:val="center"/>
          </w:tcPr>
          <w:p w14:paraId="23B3A032" w14:textId="77777777" w:rsidR="00C557AC" w:rsidRPr="00AB0B94" w:rsidRDefault="00C557AC" w:rsidP="0006064E">
            <w:pPr>
              <w:jc w:val="right"/>
              <w:rPr>
                <w:rFonts w:ascii="Arial" w:hAnsi="Arial" w:cs="Arial"/>
                <w:color w:val="000000"/>
                <w:sz w:val="18"/>
                <w:szCs w:val="18"/>
              </w:rPr>
            </w:pPr>
            <w:r w:rsidRPr="00AB0B94">
              <w:rPr>
                <w:rFonts w:ascii="Arial" w:hAnsi="Arial" w:cs="Arial"/>
                <w:color w:val="000000"/>
                <w:sz w:val="18"/>
                <w:szCs w:val="18"/>
              </w:rPr>
              <w:t>2022</w:t>
            </w:r>
          </w:p>
        </w:tc>
        <w:tc>
          <w:tcPr>
            <w:tcW w:w="1231" w:type="dxa"/>
            <w:shd w:val="clear" w:color="auto" w:fill="9CC2E5" w:themeFill="accent1" w:themeFillTint="99"/>
            <w:vAlign w:val="center"/>
          </w:tcPr>
          <w:p w14:paraId="4FF3EC85" w14:textId="77777777" w:rsidR="00C557AC" w:rsidRPr="00AB0B94" w:rsidRDefault="00C557AC" w:rsidP="0006064E">
            <w:pPr>
              <w:jc w:val="right"/>
              <w:rPr>
                <w:rFonts w:ascii="Arial" w:hAnsi="Arial" w:cs="Arial"/>
                <w:color w:val="000000"/>
                <w:sz w:val="18"/>
                <w:szCs w:val="18"/>
              </w:rPr>
            </w:pPr>
            <w:r w:rsidRPr="3896A6D9">
              <w:rPr>
                <w:rFonts w:ascii="Arial" w:hAnsi="Arial" w:cs="Arial"/>
                <w:color w:val="000000" w:themeColor="text1"/>
                <w:sz w:val="18"/>
                <w:szCs w:val="18"/>
              </w:rPr>
              <w:t>2023</w:t>
            </w:r>
          </w:p>
        </w:tc>
      </w:tr>
      <w:tr w:rsidR="00C557AC" w:rsidRPr="00AB0B94" w14:paraId="6BEC8D07" w14:textId="77777777" w:rsidTr="000D79F2">
        <w:trPr>
          <w:trHeight w:val="198"/>
        </w:trPr>
        <w:tc>
          <w:tcPr>
            <w:tcW w:w="2637" w:type="dxa"/>
            <w:tcBorders>
              <w:bottom w:val="single" w:sz="2" w:space="0" w:color="auto"/>
            </w:tcBorders>
            <w:shd w:val="clear" w:color="auto" w:fill="auto"/>
            <w:noWrap/>
            <w:vAlign w:val="center"/>
            <w:hideMark/>
          </w:tcPr>
          <w:p w14:paraId="5F23773D" w14:textId="77777777" w:rsidR="00C557AC" w:rsidRPr="00AB0B94" w:rsidRDefault="00C557AC" w:rsidP="0006064E">
            <w:pPr>
              <w:rPr>
                <w:rFonts w:ascii="Arial Narrow" w:hAnsi="Arial Narrow" w:cs="Calibri"/>
                <w:color w:val="000000"/>
                <w:sz w:val="20"/>
                <w:szCs w:val="20"/>
              </w:rPr>
            </w:pPr>
            <w:r w:rsidRPr="00AB0B94">
              <w:rPr>
                <w:rFonts w:ascii="Arial Narrow" w:hAnsi="Arial Narrow" w:cs="Calibri"/>
                <w:color w:val="000000"/>
                <w:sz w:val="20"/>
                <w:szCs w:val="20"/>
              </w:rPr>
              <w:t>Derechos reconocidos netos presupuestarios</w:t>
            </w:r>
          </w:p>
        </w:tc>
        <w:tc>
          <w:tcPr>
            <w:tcW w:w="1230" w:type="dxa"/>
            <w:tcBorders>
              <w:bottom w:val="single" w:sz="2" w:space="0" w:color="auto"/>
            </w:tcBorders>
            <w:shd w:val="clear" w:color="auto" w:fill="auto"/>
            <w:noWrap/>
            <w:vAlign w:val="center"/>
            <w:hideMark/>
          </w:tcPr>
          <w:p w14:paraId="536CC75A"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color w:val="000000"/>
                <w:sz w:val="20"/>
                <w:szCs w:val="20"/>
              </w:rPr>
              <w:t>2.091.725</w:t>
            </w:r>
          </w:p>
        </w:tc>
        <w:tc>
          <w:tcPr>
            <w:tcW w:w="1230" w:type="dxa"/>
            <w:tcBorders>
              <w:bottom w:val="single" w:sz="2" w:space="0" w:color="auto"/>
            </w:tcBorders>
            <w:shd w:val="clear" w:color="auto" w:fill="auto"/>
            <w:noWrap/>
            <w:vAlign w:val="center"/>
            <w:hideMark/>
          </w:tcPr>
          <w:p w14:paraId="60DD9A22"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color w:val="000000"/>
                <w:sz w:val="20"/>
                <w:szCs w:val="20"/>
              </w:rPr>
              <w:t>2.936.892</w:t>
            </w:r>
          </w:p>
        </w:tc>
        <w:tc>
          <w:tcPr>
            <w:tcW w:w="1231" w:type="dxa"/>
            <w:tcBorders>
              <w:bottom w:val="single" w:sz="2" w:space="0" w:color="auto"/>
            </w:tcBorders>
            <w:shd w:val="clear" w:color="auto" w:fill="auto"/>
            <w:noWrap/>
            <w:vAlign w:val="center"/>
            <w:hideMark/>
          </w:tcPr>
          <w:p w14:paraId="7D5293C9" w14:textId="77777777" w:rsidR="00C557AC" w:rsidRPr="00AB0B94" w:rsidRDefault="00C557AC" w:rsidP="0006064E">
            <w:pPr>
              <w:jc w:val="right"/>
              <w:rPr>
                <w:rFonts w:ascii="Arial Narrow" w:hAnsi="Arial Narrow" w:cs="Calibri"/>
                <w:color w:val="000000"/>
                <w:sz w:val="20"/>
                <w:szCs w:val="20"/>
              </w:rPr>
            </w:pPr>
            <w:r w:rsidRPr="3896A6D9">
              <w:rPr>
                <w:rFonts w:ascii="Arial Narrow" w:hAnsi="Arial Narrow" w:cs="Calibri"/>
                <w:color w:val="000000" w:themeColor="text1"/>
                <w:sz w:val="20"/>
                <w:szCs w:val="20"/>
              </w:rPr>
              <w:t>4.362.180</w:t>
            </w:r>
          </w:p>
        </w:tc>
        <w:tc>
          <w:tcPr>
            <w:tcW w:w="1230" w:type="dxa"/>
            <w:tcBorders>
              <w:bottom w:val="single" w:sz="2" w:space="0" w:color="auto"/>
            </w:tcBorders>
            <w:shd w:val="clear" w:color="auto" w:fill="auto"/>
            <w:noWrap/>
            <w:vAlign w:val="center"/>
            <w:hideMark/>
          </w:tcPr>
          <w:p w14:paraId="4E3B3858"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color w:val="000000"/>
                <w:sz w:val="20"/>
                <w:szCs w:val="20"/>
              </w:rPr>
              <w:t>3.412.130</w:t>
            </w:r>
          </w:p>
        </w:tc>
        <w:tc>
          <w:tcPr>
            <w:tcW w:w="1231" w:type="dxa"/>
            <w:tcBorders>
              <w:bottom w:val="single" w:sz="2" w:space="0" w:color="auto"/>
            </w:tcBorders>
            <w:vAlign w:val="center"/>
          </w:tcPr>
          <w:p w14:paraId="1C7BE397" w14:textId="77777777" w:rsidR="00C557AC" w:rsidRPr="00AB0B94" w:rsidRDefault="00C557AC" w:rsidP="0006064E">
            <w:pPr>
              <w:jc w:val="right"/>
              <w:rPr>
                <w:rFonts w:ascii="Arial Narrow" w:hAnsi="Arial Narrow" w:cs="Calibri"/>
                <w:color w:val="000000"/>
                <w:sz w:val="20"/>
                <w:szCs w:val="20"/>
              </w:rPr>
            </w:pPr>
            <w:r w:rsidRPr="3896A6D9">
              <w:rPr>
                <w:rFonts w:ascii="Arial Narrow" w:hAnsi="Arial Narrow" w:cs="Calibri"/>
                <w:color w:val="000000" w:themeColor="text1"/>
                <w:sz w:val="20"/>
                <w:szCs w:val="20"/>
              </w:rPr>
              <w:t>1.990.725</w:t>
            </w:r>
          </w:p>
        </w:tc>
      </w:tr>
      <w:tr w:rsidR="00C557AC" w:rsidRPr="00AB0B94" w14:paraId="284A0171" w14:textId="77777777" w:rsidTr="000D79F2">
        <w:trPr>
          <w:trHeight w:val="198"/>
        </w:trPr>
        <w:tc>
          <w:tcPr>
            <w:tcW w:w="2637" w:type="dxa"/>
            <w:tcBorders>
              <w:top w:val="single" w:sz="2" w:space="0" w:color="auto"/>
              <w:bottom w:val="single" w:sz="2" w:space="0" w:color="auto"/>
            </w:tcBorders>
            <w:shd w:val="clear" w:color="auto" w:fill="auto"/>
            <w:noWrap/>
            <w:vAlign w:val="center"/>
            <w:hideMark/>
          </w:tcPr>
          <w:p w14:paraId="59A04211" w14:textId="77777777" w:rsidR="00C557AC" w:rsidRPr="00AB0B94" w:rsidRDefault="00C557AC" w:rsidP="00AB0B94">
            <w:pPr>
              <w:rPr>
                <w:rFonts w:ascii="Arial Narrow" w:hAnsi="Arial Narrow" w:cs="Calibri"/>
                <w:color w:val="000000"/>
                <w:sz w:val="20"/>
                <w:szCs w:val="20"/>
              </w:rPr>
            </w:pPr>
            <w:r w:rsidRPr="00AB0B94">
              <w:rPr>
                <w:rFonts w:ascii="Arial Narrow" w:hAnsi="Arial Narrow" w:cs="Calibri"/>
                <w:color w:val="000000"/>
                <w:sz w:val="20"/>
                <w:szCs w:val="20"/>
              </w:rPr>
              <w:t xml:space="preserve">Recaudación total  </w:t>
            </w:r>
          </w:p>
          <w:p w14:paraId="13000D09" w14:textId="77777777" w:rsidR="00C557AC" w:rsidRPr="00AB0B94" w:rsidRDefault="00C557AC" w:rsidP="00FE1DDA">
            <w:pPr>
              <w:ind w:firstLine="217"/>
              <w:rPr>
                <w:rFonts w:ascii="Arial Narrow" w:hAnsi="Arial Narrow" w:cs="Calibri"/>
                <w:i/>
                <w:color w:val="000000"/>
                <w:sz w:val="18"/>
                <w:szCs w:val="18"/>
              </w:rPr>
            </w:pPr>
            <w:r w:rsidRPr="00AB0B94">
              <w:rPr>
                <w:rFonts w:ascii="Arial Narrow" w:hAnsi="Arial Narrow" w:cs="Calibri"/>
                <w:i/>
                <w:color w:val="000000"/>
                <w:sz w:val="18"/>
                <w:szCs w:val="18"/>
              </w:rPr>
              <w:t>Recaudación departamento</w:t>
            </w:r>
          </w:p>
          <w:p w14:paraId="66A7BFF3" w14:textId="77777777" w:rsidR="00C557AC" w:rsidRPr="00AB0B94" w:rsidRDefault="00C557AC" w:rsidP="00FE1DDA">
            <w:pPr>
              <w:ind w:firstLine="217"/>
              <w:rPr>
                <w:rFonts w:ascii="Arial Narrow" w:hAnsi="Arial Narrow" w:cs="Calibri"/>
                <w:color w:val="000000"/>
                <w:sz w:val="20"/>
                <w:szCs w:val="20"/>
              </w:rPr>
            </w:pPr>
            <w:r w:rsidRPr="00AB0B94">
              <w:rPr>
                <w:rFonts w:ascii="Arial Narrow" w:hAnsi="Arial Narrow" w:cs="Calibri"/>
                <w:i/>
                <w:color w:val="000000"/>
                <w:sz w:val="18"/>
                <w:szCs w:val="18"/>
              </w:rPr>
              <w:t>Recaud</w:t>
            </w:r>
            <w:r w:rsidR="00FE6C49">
              <w:rPr>
                <w:rFonts w:ascii="Arial Narrow" w:hAnsi="Arial Narrow" w:cs="Calibri"/>
                <w:i/>
                <w:color w:val="000000"/>
                <w:sz w:val="18"/>
                <w:szCs w:val="18"/>
              </w:rPr>
              <w:t>.</w:t>
            </w:r>
            <w:r w:rsidRPr="00AB0B94">
              <w:rPr>
                <w:rFonts w:ascii="Arial Narrow" w:hAnsi="Arial Narrow" w:cs="Calibri"/>
                <w:i/>
                <w:color w:val="000000"/>
                <w:sz w:val="18"/>
                <w:szCs w:val="18"/>
              </w:rPr>
              <w:t xml:space="preserve"> Hac</w:t>
            </w:r>
            <w:r w:rsidR="00AB0B94">
              <w:rPr>
                <w:rFonts w:ascii="Arial Narrow" w:hAnsi="Arial Narrow" w:cs="Calibri"/>
                <w:i/>
                <w:color w:val="000000"/>
                <w:sz w:val="18"/>
                <w:szCs w:val="18"/>
              </w:rPr>
              <w:t>ienda</w:t>
            </w:r>
            <w:r w:rsidRPr="00AB0B94">
              <w:rPr>
                <w:rFonts w:ascii="Arial Narrow" w:hAnsi="Arial Narrow" w:cs="Calibri"/>
                <w:i/>
                <w:color w:val="000000"/>
                <w:sz w:val="18"/>
                <w:szCs w:val="18"/>
              </w:rPr>
              <w:t xml:space="preserve"> Foral Navarra</w:t>
            </w:r>
          </w:p>
        </w:tc>
        <w:tc>
          <w:tcPr>
            <w:tcW w:w="1230" w:type="dxa"/>
            <w:tcBorders>
              <w:top w:val="single" w:sz="2" w:space="0" w:color="auto"/>
              <w:bottom w:val="single" w:sz="2" w:space="0" w:color="auto"/>
            </w:tcBorders>
            <w:shd w:val="clear" w:color="auto" w:fill="auto"/>
            <w:noWrap/>
            <w:vAlign w:val="center"/>
            <w:hideMark/>
          </w:tcPr>
          <w:p w14:paraId="62FFD5FB"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color w:val="000000"/>
                <w:sz w:val="20"/>
                <w:szCs w:val="20"/>
              </w:rPr>
              <w:t>1.479.238</w:t>
            </w:r>
          </w:p>
          <w:p w14:paraId="028F23B8" w14:textId="77777777" w:rsidR="00C557AC" w:rsidRPr="00AB0B94" w:rsidRDefault="00C557AC" w:rsidP="0006064E">
            <w:pPr>
              <w:jc w:val="right"/>
              <w:rPr>
                <w:rFonts w:ascii="Arial Narrow" w:hAnsi="Arial Narrow" w:cs="Calibri"/>
                <w:i/>
                <w:color w:val="000000"/>
                <w:sz w:val="18"/>
                <w:szCs w:val="18"/>
              </w:rPr>
            </w:pPr>
            <w:r w:rsidRPr="00AB0B94">
              <w:rPr>
                <w:rFonts w:ascii="Arial Narrow" w:hAnsi="Arial Narrow" w:cs="Calibri"/>
                <w:i/>
                <w:color w:val="000000"/>
                <w:sz w:val="18"/>
                <w:szCs w:val="18"/>
              </w:rPr>
              <w:t>997.094   482.144</w:t>
            </w:r>
          </w:p>
        </w:tc>
        <w:tc>
          <w:tcPr>
            <w:tcW w:w="1230" w:type="dxa"/>
            <w:tcBorders>
              <w:top w:val="single" w:sz="2" w:space="0" w:color="auto"/>
              <w:bottom w:val="single" w:sz="2" w:space="0" w:color="auto"/>
            </w:tcBorders>
            <w:shd w:val="clear" w:color="auto" w:fill="auto"/>
            <w:noWrap/>
            <w:vAlign w:val="center"/>
            <w:hideMark/>
          </w:tcPr>
          <w:p w14:paraId="606C6FA1"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color w:val="000000"/>
                <w:sz w:val="20"/>
                <w:szCs w:val="20"/>
              </w:rPr>
              <w:t>2.200.868</w:t>
            </w:r>
          </w:p>
          <w:p w14:paraId="734BE86E" w14:textId="77777777" w:rsidR="00C557AC" w:rsidRPr="00AB0B94" w:rsidRDefault="00C557AC" w:rsidP="0006064E">
            <w:pPr>
              <w:jc w:val="right"/>
              <w:rPr>
                <w:rFonts w:ascii="Arial Narrow" w:hAnsi="Arial Narrow" w:cs="Calibri"/>
                <w:i/>
                <w:color w:val="000000"/>
                <w:sz w:val="18"/>
                <w:szCs w:val="18"/>
              </w:rPr>
            </w:pPr>
            <w:r w:rsidRPr="00AB0B94">
              <w:rPr>
                <w:rFonts w:ascii="Arial Narrow" w:hAnsi="Arial Narrow" w:cs="Calibri"/>
                <w:i/>
                <w:color w:val="000000"/>
                <w:sz w:val="18"/>
                <w:szCs w:val="18"/>
              </w:rPr>
              <w:t>1.474.405</w:t>
            </w:r>
          </w:p>
          <w:p w14:paraId="3CFC92E5"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i/>
                <w:color w:val="000000"/>
                <w:sz w:val="18"/>
                <w:szCs w:val="18"/>
              </w:rPr>
              <w:t>726.463</w:t>
            </w:r>
          </w:p>
        </w:tc>
        <w:tc>
          <w:tcPr>
            <w:tcW w:w="1231" w:type="dxa"/>
            <w:tcBorders>
              <w:top w:val="single" w:sz="2" w:space="0" w:color="auto"/>
              <w:bottom w:val="single" w:sz="2" w:space="0" w:color="auto"/>
            </w:tcBorders>
            <w:shd w:val="clear" w:color="auto" w:fill="auto"/>
            <w:noWrap/>
            <w:vAlign w:val="center"/>
            <w:hideMark/>
          </w:tcPr>
          <w:p w14:paraId="4DCEAA8D"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color w:val="000000"/>
                <w:sz w:val="20"/>
                <w:szCs w:val="20"/>
              </w:rPr>
              <w:t>3.490.690</w:t>
            </w:r>
          </w:p>
          <w:p w14:paraId="3373C939" w14:textId="77777777" w:rsidR="00C557AC" w:rsidRPr="00AB0B94" w:rsidRDefault="00C557AC" w:rsidP="0006064E">
            <w:pPr>
              <w:jc w:val="right"/>
              <w:rPr>
                <w:rFonts w:ascii="Arial Narrow" w:hAnsi="Arial Narrow" w:cs="Calibri"/>
                <w:i/>
                <w:color w:val="000000"/>
                <w:sz w:val="18"/>
                <w:szCs w:val="18"/>
              </w:rPr>
            </w:pPr>
            <w:r w:rsidRPr="00AB0B94">
              <w:rPr>
                <w:rFonts w:ascii="Arial Narrow" w:hAnsi="Arial Narrow" w:cs="Calibri"/>
                <w:i/>
                <w:color w:val="000000"/>
                <w:sz w:val="18"/>
                <w:szCs w:val="18"/>
              </w:rPr>
              <w:t>2.992.991</w:t>
            </w:r>
          </w:p>
          <w:p w14:paraId="469A3657"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i/>
                <w:color w:val="000000"/>
                <w:sz w:val="18"/>
                <w:szCs w:val="18"/>
              </w:rPr>
              <w:t>497.699</w:t>
            </w:r>
          </w:p>
        </w:tc>
        <w:tc>
          <w:tcPr>
            <w:tcW w:w="1230" w:type="dxa"/>
            <w:tcBorders>
              <w:top w:val="single" w:sz="2" w:space="0" w:color="auto"/>
              <w:bottom w:val="single" w:sz="2" w:space="0" w:color="auto"/>
            </w:tcBorders>
            <w:shd w:val="clear" w:color="auto" w:fill="auto"/>
            <w:noWrap/>
            <w:vAlign w:val="center"/>
            <w:hideMark/>
          </w:tcPr>
          <w:p w14:paraId="3888AF17"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color w:val="000000"/>
                <w:sz w:val="20"/>
                <w:szCs w:val="20"/>
              </w:rPr>
              <w:t>1.803.164</w:t>
            </w:r>
          </w:p>
          <w:p w14:paraId="09C655D4" w14:textId="77777777" w:rsidR="00C557AC" w:rsidRPr="00AB0B94" w:rsidRDefault="00C557AC" w:rsidP="0006064E">
            <w:pPr>
              <w:jc w:val="right"/>
              <w:rPr>
                <w:rFonts w:ascii="Arial Narrow" w:hAnsi="Arial Narrow" w:cs="Calibri"/>
                <w:i/>
                <w:color w:val="000000"/>
                <w:sz w:val="18"/>
                <w:szCs w:val="18"/>
              </w:rPr>
            </w:pPr>
            <w:r w:rsidRPr="00AB0B94">
              <w:rPr>
                <w:rFonts w:ascii="Arial Narrow" w:hAnsi="Arial Narrow" w:cs="Calibri"/>
                <w:i/>
                <w:color w:val="000000"/>
                <w:sz w:val="18"/>
                <w:szCs w:val="18"/>
              </w:rPr>
              <w:t>1.215.348</w:t>
            </w:r>
          </w:p>
          <w:p w14:paraId="74DE6BE4"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i/>
                <w:color w:val="000000"/>
                <w:sz w:val="18"/>
                <w:szCs w:val="18"/>
              </w:rPr>
              <w:t>587.815</w:t>
            </w:r>
          </w:p>
        </w:tc>
        <w:tc>
          <w:tcPr>
            <w:tcW w:w="1231" w:type="dxa"/>
            <w:tcBorders>
              <w:top w:val="single" w:sz="2" w:space="0" w:color="auto"/>
              <w:bottom w:val="single" w:sz="2" w:space="0" w:color="auto"/>
            </w:tcBorders>
            <w:vAlign w:val="center"/>
          </w:tcPr>
          <w:p w14:paraId="3192F4CD"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color w:val="000000"/>
                <w:sz w:val="20"/>
                <w:szCs w:val="20"/>
              </w:rPr>
              <w:t>997.382</w:t>
            </w:r>
          </w:p>
          <w:p w14:paraId="5E899829" w14:textId="77777777" w:rsidR="00C557AC" w:rsidRPr="00AB0B94" w:rsidRDefault="00C557AC" w:rsidP="0006064E">
            <w:pPr>
              <w:jc w:val="right"/>
              <w:rPr>
                <w:rFonts w:ascii="Arial Narrow" w:hAnsi="Arial Narrow" w:cs="Calibri"/>
                <w:i/>
                <w:color w:val="000000"/>
                <w:sz w:val="18"/>
                <w:szCs w:val="18"/>
              </w:rPr>
            </w:pPr>
            <w:r w:rsidRPr="00AB0B94">
              <w:rPr>
                <w:rFonts w:ascii="Arial Narrow" w:hAnsi="Arial Narrow" w:cs="Calibri"/>
                <w:i/>
                <w:color w:val="000000"/>
                <w:sz w:val="18"/>
                <w:szCs w:val="18"/>
              </w:rPr>
              <w:t>745.154</w:t>
            </w:r>
          </w:p>
          <w:p w14:paraId="237867D4"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i/>
                <w:color w:val="000000"/>
                <w:sz w:val="18"/>
                <w:szCs w:val="18"/>
              </w:rPr>
              <w:t>252.228</w:t>
            </w:r>
          </w:p>
        </w:tc>
      </w:tr>
      <w:tr w:rsidR="00C557AC" w:rsidRPr="00C557AC" w14:paraId="6C57B563" w14:textId="77777777" w:rsidTr="000D79F2">
        <w:trPr>
          <w:trHeight w:val="198"/>
        </w:trPr>
        <w:tc>
          <w:tcPr>
            <w:tcW w:w="2637" w:type="dxa"/>
            <w:tcBorders>
              <w:top w:val="single" w:sz="2" w:space="0" w:color="auto"/>
            </w:tcBorders>
            <w:shd w:val="clear" w:color="auto" w:fill="auto"/>
            <w:noWrap/>
            <w:vAlign w:val="center"/>
          </w:tcPr>
          <w:p w14:paraId="47019F72" w14:textId="77777777" w:rsidR="00C557AC" w:rsidRPr="00AB0B94" w:rsidRDefault="00C557AC" w:rsidP="0006064E">
            <w:pPr>
              <w:rPr>
                <w:rFonts w:ascii="Arial Narrow" w:hAnsi="Arial Narrow" w:cs="Calibri"/>
                <w:color w:val="000000"/>
                <w:sz w:val="20"/>
                <w:szCs w:val="20"/>
              </w:rPr>
            </w:pPr>
            <w:r w:rsidRPr="00AB0B94">
              <w:rPr>
                <w:rFonts w:ascii="Arial Narrow" w:hAnsi="Arial Narrow" w:cs="Calibri"/>
                <w:color w:val="000000" w:themeColor="text1"/>
                <w:sz w:val="20"/>
                <w:szCs w:val="20"/>
              </w:rPr>
              <w:t xml:space="preserve">% recaudación / derechos </w:t>
            </w:r>
          </w:p>
        </w:tc>
        <w:tc>
          <w:tcPr>
            <w:tcW w:w="1230" w:type="dxa"/>
            <w:tcBorders>
              <w:top w:val="single" w:sz="2" w:space="0" w:color="auto"/>
            </w:tcBorders>
            <w:shd w:val="clear" w:color="auto" w:fill="auto"/>
            <w:noWrap/>
            <w:vAlign w:val="center"/>
          </w:tcPr>
          <w:p w14:paraId="4867992D"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color w:val="000000"/>
                <w:sz w:val="20"/>
                <w:szCs w:val="20"/>
              </w:rPr>
              <w:t>70,7</w:t>
            </w:r>
          </w:p>
        </w:tc>
        <w:tc>
          <w:tcPr>
            <w:tcW w:w="1230" w:type="dxa"/>
            <w:tcBorders>
              <w:top w:val="single" w:sz="2" w:space="0" w:color="auto"/>
            </w:tcBorders>
            <w:shd w:val="clear" w:color="auto" w:fill="auto"/>
            <w:noWrap/>
            <w:vAlign w:val="center"/>
          </w:tcPr>
          <w:p w14:paraId="0D0FF7CB"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color w:val="000000"/>
                <w:sz w:val="20"/>
                <w:szCs w:val="20"/>
              </w:rPr>
              <w:t>74,9</w:t>
            </w:r>
          </w:p>
        </w:tc>
        <w:tc>
          <w:tcPr>
            <w:tcW w:w="1231" w:type="dxa"/>
            <w:tcBorders>
              <w:top w:val="single" w:sz="2" w:space="0" w:color="auto"/>
            </w:tcBorders>
            <w:shd w:val="clear" w:color="auto" w:fill="auto"/>
            <w:noWrap/>
            <w:vAlign w:val="center"/>
          </w:tcPr>
          <w:p w14:paraId="0CBB1C73"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color w:val="000000"/>
                <w:sz w:val="20"/>
                <w:szCs w:val="20"/>
              </w:rPr>
              <w:t>80,0</w:t>
            </w:r>
          </w:p>
        </w:tc>
        <w:tc>
          <w:tcPr>
            <w:tcW w:w="1230" w:type="dxa"/>
            <w:tcBorders>
              <w:top w:val="single" w:sz="2" w:space="0" w:color="auto"/>
            </w:tcBorders>
            <w:shd w:val="clear" w:color="auto" w:fill="auto"/>
            <w:noWrap/>
            <w:vAlign w:val="center"/>
          </w:tcPr>
          <w:p w14:paraId="10A62698"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color w:val="000000"/>
                <w:sz w:val="20"/>
                <w:szCs w:val="20"/>
              </w:rPr>
              <w:t>52,9</w:t>
            </w:r>
          </w:p>
        </w:tc>
        <w:tc>
          <w:tcPr>
            <w:tcW w:w="1231" w:type="dxa"/>
            <w:tcBorders>
              <w:top w:val="single" w:sz="2" w:space="0" w:color="auto"/>
            </w:tcBorders>
            <w:vAlign w:val="center"/>
          </w:tcPr>
          <w:p w14:paraId="5FABF644" w14:textId="77777777" w:rsidR="00C557AC" w:rsidRPr="00AB0B94" w:rsidRDefault="00C557AC" w:rsidP="0006064E">
            <w:pPr>
              <w:jc w:val="right"/>
              <w:rPr>
                <w:rFonts w:ascii="Arial Narrow" w:hAnsi="Arial Narrow" w:cs="Calibri"/>
                <w:color w:val="000000"/>
                <w:sz w:val="20"/>
                <w:szCs w:val="20"/>
              </w:rPr>
            </w:pPr>
            <w:r w:rsidRPr="00AB0B94">
              <w:rPr>
                <w:rFonts w:ascii="Arial Narrow" w:hAnsi="Arial Narrow" w:cs="Calibri"/>
                <w:color w:val="000000"/>
                <w:sz w:val="20"/>
                <w:szCs w:val="20"/>
              </w:rPr>
              <w:t>50,1</w:t>
            </w:r>
          </w:p>
        </w:tc>
      </w:tr>
    </w:tbl>
    <w:p w14:paraId="5D460871" w14:textId="22D9D757" w:rsidR="00C557AC" w:rsidRPr="00AB0B94" w:rsidRDefault="222E48AB" w:rsidP="00AF2EA1">
      <w:pPr>
        <w:pStyle w:val="texto"/>
        <w:spacing w:before="240" w:after="140"/>
        <w:jc w:val="both"/>
        <w:rPr>
          <w:rFonts w:eastAsia="Calibri"/>
          <w:spacing w:val="0"/>
        </w:rPr>
      </w:pPr>
      <w:r w:rsidRPr="5D8B6717">
        <w:rPr>
          <w:rFonts w:eastAsia="Calibri"/>
          <w:spacing w:val="0"/>
        </w:rPr>
        <w:t>De los 14,79 millones</w:t>
      </w:r>
      <w:r w:rsidR="35B57784" w:rsidRPr="5D8B6717">
        <w:rPr>
          <w:rFonts w:eastAsia="Calibri"/>
          <w:spacing w:val="0"/>
        </w:rPr>
        <w:t xml:space="preserve"> devengados en el periodo</w:t>
      </w:r>
      <w:r w:rsidRPr="5D8B6717">
        <w:rPr>
          <w:rFonts w:eastAsia="Calibri"/>
          <w:spacing w:val="0"/>
        </w:rPr>
        <w:t xml:space="preserve">, </w:t>
      </w:r>
      <w:r w:rsidR="0216CB4A" w:rsidRPr="5D8B6717">
        <w:rPr>
          <w:rFonts w:eastAsia="Calibri"/>
          <w:spacing w:val="0"/>
        </w:rPr>
        <w:t xml:space="preserve">y tras realizar tanto el departamento como la Hacienda Foral de Navarra todas las actuaciones correspondientes, </w:t>
      </w:r>
      <w:r w:rsidRPr="5D8B6717">
        <w:rPr>
          <w:rFonts w:eastAsia="Calibri"/>
          <w:spacing w:val="0"/>
        </w:rPr>
        <w:t xml:space="preserve">se ha cobrado el 67 por ciento (9,97 millones). Este </w:t>
      </w:r>
      <w:r w:rsidRPr="1B3FF5FE">
        <w:t>porcentaje</w:t>
      </w:r>
      <w:r w:rsidRPr="5D8B6717">
        <w:rPr>
          <w:rFonts w:eastAsia="Calibri"/>
          <w:spacing w:val="0"/>
        </w:rPr>
        <w:t xml:space="preserve"> de cobro difiere significativamente por ejercicio y va desde el 50,1 por ciento de 2023 hasta el 80 por ciento en 2021.</w:t>
      </w:r>
    </w:p>
    <w:p w14:paraId="17F0A723" w14:textId="04B18722" w:rsidR="00B44963" w:rsidRDefault="00EE505D" w:rsidP="00A215EC">
      <w:pPr>
        <w:pStyle w:val="texto"/>
        <w:spacing w:after="140"/>
        <w:jc w:val="both"/>
        <w:rPr>
          <w:rFonts w:ascii="Arial" w:hAnsi="Arial" w:cs="Arial"/>
          <w:i/>
          <w:iCs/>
          <w:szCs w:val="26"/>
        </w:rPr>
      </w:pPr>
      <w:r>
        <w:rPr>
          <w:rFonts w:eastAsia="Calibri"/>
          <w:spacing w:val="0"/>
          <w:szCs w:val="26"/>
        </w:rPr>
        <w:tab/>
      </w:r>
      <w:r w:rsidR="00AB0B94">
        <w:rPr>
          <w:rFonts w:eastAsia="Calibri"/>
          <w:spacing w:val="0"/>
          <w:szCs w:val="26"/>
        </w:rPr>
        <w:t xml:space="preserve">A la vista de los </w:t>
      </w:r>
      <w:r w:rsidR="00AB0B94" w:rsidRPr="00A215EC">
        <w:rPr>
          <w:lang w:val="es-ES_tradnl"/>
        </w:rPr>
        <w:t>resultados</w:t>
      </w:r>
      <w:r w:rsidR="00AB0B94">
        <w:rPr>
          <w:rFonts w:eastAsia="Calibri"/>
          <w:spacing w:val="0"/>
          <w:szCs w:val="26"/>
        </w:rPr>
        <w:t xml:space="preserve"> obtenidos, podemos concluir que</w:t>
      </w:r>
      <w:r w:rsidR="009F579C">
        <w:rPr>
          <w:rFonts w:eastAsia="Calibri"/>
          <w:spacing w:val="0"/>
          <w:szCs w:val="26"/>
        </w:rPr>
        <w:t xml:space="preserve"> las unidades familiares perceptoras a la fecha de redacción de este informe no han reintegrado</w:t>
      </w:r>
      <w:r w:rsidR="00AB0B94">
        <w:rPr>
          <w:rFonts w:eastAsia="Calibri"/>
          <w:spacing w:val="0"/>
          <w:szCs w:val="26"/>
        </w:rPr>
        <w:t xml:space="preserve"> todos los abonos percibidos indebidamente</w:t>
      </w:r>
      <w:r w:rsidR="009F579C">
        <w:rPr>
          <w:rFonts w:eastAsia="Calibri"/>
          <w:spacing w:val="0"/>
          <w:szCs w:val="26"/>
        </w:rPr>
        <w:t>, pudiendo estar parte de los mismos aún en proceso de cobro</w:t>
      </w:r>
      <w:r w:rsidR="00AB0B94">
        <w:rPr>
          <w:rFonts w:eastAsia="Calibri"/>
          <w:spacing w:val="0"/>
          <w:szCs w:val="26"/>
        </w:rPr>
        <w:t>.</w:t>
      </w:r>
    </w:p>
    <w:p w14:paraId="4427FDB9" w14:textId="45B3FC0E" w:rsidR="00321175" w:rsidRPr="00E41B03" w:rsidRDefault="000C24C5" w:rsidP="00AF2EA1">
      <w:pPr>
        <w:pStyle w:val="atitulo3"/>
        <w:spacing w:before="240"/>
      </w:pPr>
      <w:r>
        <w:t xml:space="preserve">2.2.2 </w:t>
      </w:r>
      <w:r w:rsidR="00321175" w:rsidRPr="0CCF8A85">
        <w:t xml:space="preserve">Obligaciones </w:t>
      </w:r>
      <w:r w:rsidR="00801032">
        <w:t>de las administraciones públicas</w:t>
      </w:r>
      <w:r w:rsidR="002E314C">
        <w:t xml:space="preserve"> y de los SSB</w:t>
      </w:r>
    </w:p>
    <w:p w14:paraId="521CB3F8" w14:textId="77C55C9E" w:rsidR="00321175" w:rsidRDefault="7B23D964" w:rsidP="00A215EC">
      <w:pPr>
        <w:pStyle w:val="texto"/>
        <w:spacing w:after="140"/>
        <w:jc w:val="both"/>
      </w:pPr>
      <w:r>
        <w:t xml:space="preserve">Hemos analizado si </w:t>
      </w:r>
      <w:r w:rsidR="00FC0931">
        <w:t>los SSB y las administraciones públicas</w:t>
      </w:r>
      <w:r>
        <w:t xml:space="preserve"> ha</w:t>
      </w:r>
      <w:r w:rsidR="00FC0931">
        <w:t>n</w:t>
      </w:r>
      <w:r>
        <w:t xml:space="preserve"> cumplido con las medidas establecidas en el artículo 34 de la Ley Foral 15/2016 para favorecer la inclusión social de las </w:t>
      </w:r>
      <w:r w:rsidRPr="00A215EC">
        <w:rPr>
          <w:lang w:val="es-ES_tradnl"/>
        </w:rPr>
        <w:t>unidades</w:t>
      </w:r>
      <w:r>
        <w:t xml:space="preserve"> familiares perceptoras de RG</w:t>
      </w:r>
      <w:r w:rsidR="004346B5">
        <w:t>, obteniendo</w:t>
      </w:r>
      <w:r>
        <w:t xml:space="preserve"> las siguientes conclusiones: </w:t>
      </w:r>
    </w:p>
    <w:p w14:paraId="6BBA6011" w14:textId="563D9B17" w:rsidR="002F61E6" w:rsidRPr="00E94F74" w:rsidRDefault="02745A7B" w:rsidP="00AF2EA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i/>
          <w:iCs/>
          <w:szCs w:val="26"/>
        </w:rPr>
      </w:pPr>
      <w:r w:rsidRPr="00E94F74">
        <w:rPr>
          <w:rFonts w:eastAsia="Calibri"/>
          <w:i/>
          <w:iCs/>
          <w:szCs w:val="26"/>
        </w:rPr>
        <w:t>L</w:t>
      </w:r>
      <w:r w:rsidR="4703813A" w:rsidRPr="00E94F74">
        <w:rPr>
          <w:rFonts w:eastAsia="Calibri"/>
          <w:i/>
          <w:iCs/>
          <w:szCs w:val="26"/>
        </w:rPr>
        <w:t xml:space="preserve">as unidades familiares solicitantes por primera vez de la RG </w:t>
      </w:r>
      <w:r w:rsidRPr="00E94F74">
        <w:rPr>
          <w:rFonts w:eastAsia="Calibri"/>
          <w:i/>
          <w:iCs/>
          <w:szCs w:val="26"/>
        </w:rPr>
        <w:t>deberán ser informadas y orientadas</w:t>
      </w:r>
      <w:r w:rsidR="4703813A" w:rsidRPr="00E94F74">
        <w:rPr>
          <w:rFonts w:eastAsia="Calibri"/>
          <w:i/>
          <w:iCs/>
          <w:szCs w:val="26"/>
        </w:rPr>
        <w:t xml:space="preserve"> para que puedan ejercer el derecho a un proceso de inclusión social. </w:t>
      </w:r>
    </w:p>
    <w:p w14:paraId="3390F1AB" w14:textId="29DCB8F4" w:rsidR="002F61E6" w:rsidRDefault="00314B01" w:rsidP="3896A6D9">
      <w:pPr>
        <w:pStyle w:val="texto"/>
        <w:spacing w:after="140"/>
        <w:jc w:val="both"/>
        <w:rPr>
          <w:rFonts w:eastAsia="Calibri"/>
        </w:rPr>
      </w:pPr>
      <w:r w:rsidRPr="3896A6D9">
        <w:rPr>
          <w:rFonts w:eastAsia="Calibri"/>
        </w:rPr>
        <w:t>Hemos constatado que</w:t>
      </w:r>
      <w:r w:rsidR="009E43FD">
        <w:rPr>
          <w:rFonts w:eastAsia="Calibri"/>
        </w:rPr>
        <w:t>,</w:t>
      </w:r>
      <w:r w:rsidRPr="3896A6D9">
        <w:rPr>
          <w:rFonts w:eastAsia="Calibri"/>
        </w:rPr>
        <w:t xml:space="preserve"> en las n</w:t>
      </w:r>
      <w:r w:rsidR="00E220D6" w:rsidRPr="3896A6D9">
        <w:rPr>
          <w:rFonts w:eastAsia="Calibri"/>
        </w:rPr>
        <w:t>uevas solicitudes</w:t>
      </w:r>
      <w:r w:rsidR="2689629B" w:rsidRPr="3896A6D9">
        <w:rPr>
          <w:rFonts w:eastAsia="Calibri"/>
        </w:rPr>
        <w:t>, los SSB o las UAT</w:t>
      </w:r>
      <w:r w:rsidR="00E220D6" w:rsidRPr="3896A6D9">
        <w:rPr>
          <w:rFonts w:eastAsia="Calibri"/>
        </w:rPr>
        <w:t xml:space="preserve"> informa</w:t>
      </w:r>
      <w:r w:rsidR="695AAEA1" w:rsidRPr="3896A6D9">
        <w:rPr>
          <w:rFonts w:eastAsia="Calibri"/>
        </w:rPr>
        <w:t>n</w:t>
      </w:r>
      <w:r w:rsidR="00E220D6" w:rsidRPr="3896A6D9">
        <w:rPr>
          <w:rFonts w:eastAsia="Calibri"/>
        </w:rPr>
        <w:t xml:space="preserve"> y orienta</w:t>
      </w:r>
      <w:r w:rsidR="5DD8839D" w:rsidRPr="3896A6D9">
        <w:rPr>
          <w:rFonts w:eastAsia="Calibri"/>
        </w:rPr>
        <w:t>n</w:t>
      </w:r>
      <w:r w:rsidR="00E220D6" w:rsidRPr="3896A6D9">
        <w:rPr>
          <w:rFonts w:eastAsia="Calibri"/>
        </w:rPr>
        <w:t xml:space="preserve"> a las personas sobre lo señalado en la normativa.</w:t>
      </w:r>
      <w:r w:rsidR="00FC0931">
        <w:rPr>
          <w:rFonts w:eastAsia="Calibri"/>
        </w:rPr>
        <w:t xml:space="preserve"> </w:t>
      </w:r>
    </w:p>
    <w:p w14:paraId="403616A0" w14:textId="174B6861" w:rsidR="002F61E6" w:rsidRPr="00E94F74" w:rsidRDefault="009F579C" w:rsidP="00AF2EA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i/>
          <w:iCs/>
          <w:szCs w:val="26"/>
        </w:rPr>
      </w:pPr>
      <w:r>
        <w:rPr>
          <w:rFonts w:eastAsia="Calibri"/>
          <w:i/>
          <w:iCs/>
          <w:szCs w:val="26"/>
        </w:rPr>
        <w:t>En el caso de que la unidad familiar haya sido perceptora de</w:t>
      </w:r>
      <w:r w:rsidR="4703813A" w:rsidRPr="00E94F74">
        <w:rPr>
          <w:rFonts w:eastAsia="Calibri"/>
          <w:i/>
          <w:iCs/>
          <w:szCs w:val="26"/>
        </w:rPr>
        <w:t xml:space="preserve"> RG por un periodo superior a un año ininterrumpido sin modificación de la cuantía percibida por razón de cambio en su situación económica, </w:t>
      </w:r>
      <w:r w:rsidR="0E04C4A9" w:rsidRPr="00E94F74">
        <w:rPr>
          <w:rFonts w:eastAsia="Calibri"/>
          <w:i/>
          <w:iCs/>
          <w:szCs w:val="26"/>
        </w:rPr>
        <w:t>para</w:t>
      </w:r>
      <w:r w:rsidR="4703813A" w:rsidRPr="00E94F74">
        <w:rPr>
          <w:rFonts w:eastAsia="Calibri"/>
          <w:i/>
          <w:iCs/>
          <w:szCs w:val="26"/>
        </w:rPr>
        <w:t xml:space="preserve"> incentivar y promover su inclusión</w:t>
      </w:r>
      <w:r>
        <w:rPr>
          <w:rFonts w:eastAsia="Calibri"/>
          <w:i/>
          <w:iCs/>
          <w:szCs w:val="26"/>
        </w:rPr>
        <w:t xml:space="preserve">, se deberá llevar a cabo </w:t>
      </w:r>
      <w:r w:rsidR="3FB16EB9" w:rsidRPr="00E94F74">
        <w:rPr>
          <w:rFonts w:eastAsia="Calibri"/>
          <w:i/>
          <w:iCs/>
          <w:szCs w:val="26"/>
        </w:rPr>
        <w:t>un</w:t>
      </w:r>
      <w:r w:rsidR="4703813A" w:rsidRPr="00E94F74">
        <w:rPr>
          <w:rFonts w:eastAsia="Calibri"/>
          <w:i/>
          <w:iCs/>
          <w:szCs w:val="26"/>
        </w:rPr>
        <w:t xml:space="preserve"> proceso person</w:t>
      </w:r>
      <w:r w:rsidR="0E04C4A9" w:rsidRPr="00E94F74">
        <w:rPr>
          <w:rFonts w:eastAsia="Calibri"/>
          <w:i/>
          <w:iCs/>
          <w:szCs w:val="26"/>
        </w:rPr>
        <w:t xml:space="preserve">alizado de inclusión social, </w:t>
      </w:r>
      <w:r>
        <w:rPr>
          <w:rFonts w:eastAsia="Calibri"/>
          <w:i/>
          <w:iCs/>
          <w:szCs w:val="26"/>
        </w:rPr>
        <w:t>por lo que</w:t>
      </w:r>
      <w:r w:rsidR="0E04C4A9" w:rsidRPr="00E94F74">
        <w:rPr>
          <w:rFonts w:eastAsia="Calibri"/>
          <w:i/>
          <w:iCs/>
          <w:szCs w:val="26"/>
        </w:rPr>
        <w:t xml:space="preserve"> </w:t>
      </w:r>
      <w:r w:rsidR="4703813A" w:rsidRPr="00E94F74">
        <w:rPr>
          <w:rFonts w:eastAsia="Calibri"/>
          <w:i/>
          <w:iCs/>
          <w:szCs w:val="26"/>
        </w:rPr>
        <w:t xml:space="preserve">el </w:t>
      </w:r>
      <w:r w:rsidR="0E04C4A9" w:rsidRPr="00E94F74">
        <w:rPr>
          <w:rFonts w:eastAsia="Calibri"/>
          <w:i/>
          <w:iCs/>
          <w:szCs w:val="26"/>
        </w:rPr>
        <w:t>SSB</w:t>
      </w:r>
      <w:r w:rsidR="4703813A" w:rsidRPr="00E94F74">
        <w:rPr>
          <w:rFonts w:eastAsia="Calibri"/>
          <w:i/>
          <w:iCs/>
          <w:szCs w:val="26"/>
        </w:rPr>
        <w:t xml:space="preserve"> iniciará el procedimiento y las personas quedarán obligadas al cumplimiento </w:t>
      </w:r>
      <w:r w:rsidR="3A12655B" w:rsidRPr="00E94F74">
        <w:rPr>
          <w:rFonts w:eastAsia="Calibri"/>
          <w:i/>
          <w:iCs/>
          <w:szCs w:val="26"/>
        </w:rPr>
        <w:t xml:space="preserve">de </w:t>
      </w:r>
      <w:r w:rsidR="0E04C4A9" w:rsidRPr="00E94F74">
        <w:rPr>
          <w:rFonts w:eastAsia="Calibri"/>
          <w:i/>
          <w:iCs/>
          <w:szCs w:val="26"/>
        </w:rPr>
        <w:t>dicho programa</w:t>
      </w:r>
      <w:r w:rsidR="4703813A" w:rsidRPr="00E94F74">
        <w:rPr>
          <w:rFonts w:eastAsia="Calibri"/>
          <w:i/>
          <w:iCs/>
          <w:szCs w:val="26"/>
        </w:rPr>
        <w:t xml:space="preserve"> libremente convenido entre ambas partes.</w:t>
      </w:r>
    </w:p>
    <w:p w14:paraId="56B7BF80" w14:textId="2A096BCF" w:rsidR="00297CB2" w:rsidRDefault="5498AE51" w:rsidP="009E43FD">
      <w:pPr>
        <w:pStyle w:val="texto"/>
        <w:spacing w:after="140"/>
        <w:jc w:val="both"/>
        <w:rPr>
          <w:rFonts w:eastAsia="Calibri"/>
          <w:szCs w:val="26"/>
        </w:rPr>
      </w:pPr>
      <w:r w:rsidRPr="5D8B6717">
        <w:rPr>
          <w:rFonts w:eastAsia="Calibri"/>
          <w:szCs w:val="26"/>
        </w:rPr>
        <w:t xml:space="preserve">Hemos constatado que existe una ficha social abierta con datos sobre el inicio de un proceso de </w:t>
      </w:r>
      <w:r w:rsidRPr="00A215EC">
        <w:rPr>
          <w:lang w:val="es-ES_tradnl"/>
        </w:rPr>
        <w:t>inclusión</w:t>
      </w:r>
      <w:r w:rsidRPr="5D8B6717">
        <w:rPr>
          <w:rFonts w:eastAsia="Calibri"/>
          <w:szCs w:val="26"/>
        </w:rPr>
        <w:t xml:space="preserve"> social en la mayoría de los casos. En los que no constaba tal proceso, hemos verificado en una muestra que sí existía dicho </w:t>
      </w:r>
      <w:r w:rsidRPr="5D8B6717">
        <w:rPr>
          <w:rFonts w:eastAsia="Calibri"/>
          <w:szCs w:val="26"/>
        </w:rPr>
        <w:lastRenderedPageBreak/>
        <w:t xml:space="preserve">trámite, pero la información no estaba actualizada </w:t>
      </w:r>
      <w:r w:rsidR="085D8946" w:rsidRPr="5D8B6717">
        <w:rPr>
          <w:rFonts w:eastAsia="Calibri"/>
          <w:szCs w:val="26"/>
        </w:rPr>
        <w:t>en los expedientes de RG</w:t>
      </w:r>
      <w:r w:rsidRPr="5D8B6717">
        <w:rPr>
          <w:rFonts w:eastAsia="Calibri"/>
          <w:szCs w:val="26"/>
        </w:rPr>
        <w:t>, por lo que consideramos que los SSB están cumpliendo con este aspecto de la normativa.</w:t>
      </w:r>
    </w:p>
    <w:p w14:paraId="6B342562" w14:textId="73816205" w:rsidR="002F61E6" w:rsidRDefault="4703813A"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rPr>
      </w:pPr>
      <w:r w:rsidRPr="3896A6D9">
        <w:rPr>
          <w:rFonts w:eastAsia="Calibri"/>
          <w:i/>
          <w:iCs/>
        </w:rPr>
        <w:t xml:space="preserve">En el caso de que la unidad familiar haya sido perceptora de RG por un periodo continuo de al menos 24 meses, la </w:t>
      </w:r>
      <w:r w:rsidR="7C4E16C8" w:rsidRPr="3896A6D9">
        <w:rPr>
          <w:rFonts w:eastAsia="Calibri"/>
          <w:i/>
          <w:iCs/>
        </w:rPr>
        <w:t>a</w:t>
      </w:r>
      <w:r w:rsidRPr="3896A6D9">
        <w:rPr>
          <w:rFonts w:eastAsia="Calibri"/>
          <w:i/>
          <w:iCs/>
        </w:rPr>
        <w:t xml:space="preserve">dministración </w:t>
      </w:r>
      <w:r w:rsidR="25A53568" w:rsidRPr="3896A6D9">
        <w:rPr>
          <w:rFonts w:eastAsia="Calibri"/>
          <w:i/>
          <w:iCs/>
        </w:rPr>
        <w:t>p</w:t>
      </w:r>
      <w:r w:rsidRPr="3896A6D9">
        <w:rPr>
          <w:rFonts w:eastAsia="Calibri"/>
          <w:i/>
          <w:iCs/>
        </w:rPr>
        <w:t>ública correspondiente deberá ofertarle, en su caso, al menos la posibilidad de participar en un programa de Empleo Social Protegido u otra opción de empleo y/o formación, salvo que, a juicio de los servicios públicos que se establezcan</w:t>
      </w:r>
      <w:r w:rsidRPr="3896A6D9">
        <w:rPr>
          <w:rFonts w:eastAsia="Calibri"/>
        </w:rPr>
        <w:t xml:space="preserve"> </w:t>
      </w:r>
      <w:r w:rsidRPr="3896A6D9">
        <w:rPr>
          <w:rFonts w:eastAsia="Calibri"/>
          <w:i/>
          <w:iCs/>
        </w:rPr>
        <w:t>reglamentariamente, sus miembros no se encuentren en condiciones de incorporarse al mismo. Esta oferta deberá constar en el programa personalizado, así como las obligaciones derivadas de ello.</w:t>
      </w:r>
    </w:p>
    <w:p w14:paraId="611FB092" w14:textId="57781875" w:rsidR="0D171D00" w:rsidRPr="00801032" w:rsidRDefault="000C24C5" w:rsidP="009E43FD">
      <w:pPr>
        <w:pStyle w:val="texto"/>
        <w:spacing w:after="240"/>
        <w:jc w:val="both"/>
        <w:rPr>
          <w:rFonts w:eastAsia="Calibri"/>
          <w:szCs w:val="26"/>
          <w:highlight w:val="yellow"/>
        </w:rPr>
      </w:pPr>
      <w:r w:rsidRPr="00E558C5">
        <w:rPr>
          <w:rFonts w:eastAsia="Calibri"/>
          <w:szCs w:val="26"/>
        </w:rPr>
        <w:t>En el periodo 2019-</w:t>
      </w:r>
      <w:r w:rsidRPr="00E558C5">
        <w:rPr>
          <w:lang w:val="es-ES_tradnl"/>
        </w:rPr>
        <w:t>2023</w:t>
      </w:r>
      <w:r w:rsidRPr="00E558C5">
        <w:rPr>
          <w:rFonts w:eastAsia="Calibri"/>
          <w:szCs w:val="26"/>
        </w:rPr>
        <w:t>,</w:t>
      </w:r>
      <w:r w:rsidR="00FC0931">
        <w:rPr>
          <w:rFonts w:eastAsia="Calibri"/>
          <w:szCs w:val="26"/>
        </w:rPr>
        <w:t xml:space="preserve"> 11.945 </w:t>
      </w:r>
      <w:r w:rsidR="78726B57" w:rsidRPr="00E558C5">
        <w:rPr>
          <w:rFonts w:eastAsia="Calibri"/>
          <w:szCs w:val="26"/>
        </w:rPr>
        <w:t>personas beneficiarias</w:t>
      </w:r>
      <w:r w:rsidR="3CFC7AF1" w:rsidRPr="00E558C5">
        <w:rPr>
          <w:rFonts w:eastAsia="Calibri"/>
          <w:szCs w:val="26"/>
        </w:rPr>
        <w:t xml:space="preserve"> de RG disponibles para el empleo</w:t>
      </w:r>
      <w:r w:rsidRPr="00E558C5">
        <w:rPr>
          <w:rFonts w:eastAsia="Calibri"/>
          <w:szCs w:val="26"/>
        </w:rPr>
        <w:t xml:space="preserve"> percibieron RG</w:t>
      </w:r>
      <w:r w:rsidR="002B4002" w:rsidRPr="00E558C5">
        <w:rPr>
          <w:rFonts w:eastAsia="Calibri"/>
          <w:szCs w:val="26"/>
        </w:rPr>
        <w:t xml:space="preserve"> </w:t>
      </w:r>
      <w:r w:rsidR="78726B57" w:rsidRPr="00E558C5">
        <w:rPr>
          <w:rFonts w:eastAsia="Calibri"/>
          <w:szCs w:val="26"/>
        </w:rPr>
        <w:t>por un periodo ininterrumpido de 24 o más meses</w:t>
      </w:r>
      <w:r w:rsidR="1CB81393" w:rsidRPr="00E558C5">
        <w:rPr>
          <w:rFonts w:eastAsia="Calibri"/>
          <w:szCs w:val="26"/>
        </w:rPr>
        <w:t xml:space="preserve"> según </w:t>
      </w:r>
      <w:r w:rsidRPr="00E558C5">
        <w:rPr>
          <w:rFonts w:eastAsia="Calibri"/>
          <w:szCs w:val="26"/>
        </w:rPr>
        <w:t>el siguiente detalle:</w:t>
      </w:r>
      <w:r w:rsidR="00E558C5" w:rsidRPr="00E558C5">
        <w:rPr>
          <w:rFonts w:eastAsia="Calibri"/>
          <w:szCs w:val="26"/>
        </w:rPr>
        <w:t xml:space="preserve"> </w:t>
      </w:r>
    </w:p>
    <w:tbl>
      <w:tblPr>
        <w:tblW w:w="878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35"/>
        <w:gridCol w:w="5954"/>
      </w:tblGrid>
      <w:tr w:rsidR="001F6F2F" w:rsidRPr="006F6DEE" w14:paraId="4451E47E" w14:textId="77777777" w:rsidTr="009E43FD">
        <w:trPr>
          <w:trHeight w:val="255"/>
        </w:trPr>
        <w:tc>
          <w:tcPr>
            <w:tcW w:w="2835" w:type="dxa"/>
            <w:shd w:val="clear" w:color="auto" w:fill="9CC2E5" w:themeFill="accent1" w:themeFillTint="99"/>
            <w:noWrap/>
            <w:vAlign w:val="center"/>
            <w:hideMark/>
          </w:tcPr>
          <w:p w14:paraId="6888C972" w14:textId="77777777" w:rsidR="001F6F2F" w:rsidRPr="006F6DEE" w:rsidRDefault="001F6F2F" w:rsidP="001F6F2F">
            <w:pPr>
              <w:rPr>
                <w:rFonts w:ascii="Arial" w:hAnsi="Arial" w:cs="Arial"/>
                <w:bCs/>
                <w:color w:val="000000"/>
                <w:sz w:val="18"/>
                <w:szCs w:val="18"/>
              </w:rPr>
            </w:pPr>
            <w:r w:rsidRPr="006F6DEE">
              <w:rPr>
                <w:rFonts w:ascii="Arial" w:hAnsi="Arial" w:cs="Arial"/>
                <w:bCs/>
                <w:color w:val="000000"/>
                <w:sz w:val="18"/>
                <w:szCs w:val="18"/>
              </w:rPr>
              <w:t xml:space="preserve">Duración ininterrumpida RG </w:t>
            </w:r>
          </w:p>
        </w:tc>
        <w:tc>
          <w:tcPr>
            <w:tcW w:w="5954" w:type="dxa"/>
            <w:shd w:val="clear" w:color="auto" w:fill="9CC2E5" w:themeFill="accent1" w:themeFillTint="99"/>
            <w:vAlign w:val="center"/>
          </w:tcPr>
          <w:p w14:paraId="63C10CA0" w14:textId="1B44C3EE" w:rsidR="001F6F2F" w:rsidRPr="006F6DEE" w:rsidRDefault="0BDE379E" w:rsidP="002B4002">
            <w:pPr>
              <w:jc w:val="right"/>
              <w:rPr>
                <w:rFonts w:ascii="Arial" w:hAnsi="Arial" w:cs="Arial"/>
                <w:color w:val="000000"/>
                <w:sz w:val="18"/>
                <w:szCs w:val="18"/>
              </w:rPr>
            </w:pPr>
            <w:r w:rsidRPr="006F6DEE">
              <w:rPr>
                <w:rFonts w:ascii="Arial" w:hAnsi="Arial" w:cs="Arial"/>
                <w:color w:val="000000" w:themeColor="text1"/>
                <w:sz w:val="18"/>
                <w:szCs w:val="18"/>
              </w:rPr>
              <w:t>Total p</w:t>
            </w:r>
            <w:r w:rsidR="002B4002" w:rsidRPr="006F6DEE">
              <w:rPr>
                <w:rFonts w:ascii="Arial" w:hAnsi="Arial" w:cs="Arial"/>
                <w:color w:val="000000" w:themeColor="text1"/>
                <w:sz w:val="18"/>
                <w:szCs w:val="18"/>
              </w:rPr>
              <w:t>ersona</w:t>
            </w:r>
            <w:r w:rsidR="001153ED" w:rsidRPr="006F6DEE">
              <w:rPr>
                <w:rFonts w:ascii="Arial" w:hAnsi="Arial" w:cs="Arial"/>
                <w:color w:val="000000" w:themeColor="text1"/>
                <w:sz w:val="18"/>
                <w:szCs w:val="18"/>
              </w:rPr>
              <w:t>s</w:t>
            </w:r>
          </w:p>
        </w:tc>
      </w:tr>
      <w:tr w:rsidR="001F6F2F" w:rsidRPr="006F6DEE" w14:paraId="48B0CD8E" w14:textId="77777777" w:rsidTr="009E43FD">
        <w:trPr>
          <w:trHeight w:val="255"/>
        </w:trPr>
        <w:tc>
          <w:tcPr>
            <w:tcW w:w="2835" w:type="dxa"/>
            <w:shd w:val="clear" w:color="auto" w:fill="auto"/>
            <w:noWrap/>
            <w:vAlign w:val="center"/>
            <w:hideMark/>
          </w:tcPr>
          <w:p w14:paraId="6C26D263" w14:textId="77777777" w:rsidR="001F6F2F" w:rsidRPr="006F6DEE" w:rsidRDefault="001F6F2F" w:rsidP="001F6F2F">
            <w:pPr>
              <w:rPr>
                <w:rFonts w:ascii="Arial Narrow" w:hAnsi="Arial Narrow" w:cs="Calibri"/>
                <w:color w:val="000000"/>
                <w:sz w:val="20"/>
                <w:szCs w:val="20"/>
              </w:rPr>
            </w:pPr>
            <w:r w:rsidRPr="006F6DEE">
              <w:rPr>
                <w:rFonts w:ascii="Arial Narrow" w:hAnsi="Arial Narrow" w:cs="Calibri"/>
                <w:color w:val="000000"/>
                <w:sz w:val="20"/>
                <w:szCs w:val="20"/>
              </w:rPr>
              <w:t>24-36 meses</w:t>
            </w:r>
          </w:p>
        </w:tc>
        <w:tc>
          <w:tcPr>
            <w:tcW w:w="5954" w:type="dxa"/>
            <w:vAlign w:val="center"/>
          </w:tcPr>
          <w:p w14:paraId="3FB054DE" w14:textId="43248EE4" w:rsidR="001F6F2F" w:rsidRPr="006F6DEE" w:rsidRDefault="006F6DEE" w:rsidP="001F6F2F">
            <w:pPr>
              <w:jc w:val="right"/>
              <w:rPr>
                <w:rFonts w:ascii="Arial Narrow" w:hAnsi="Arial Narrow" w:cs="Calibri"/>
                <w:color w:val="000000"/>
                <w:sz w:val="20"/>
                <w:szCs w:val="20"/>
              </w:rPr>
            </w:pPr>
            <w:r w:rsidRPr="006F6DEE">
              <w:rPr>
                <w:rFonts w:ascii="Arial Narrow" w:hAnsi="Arial Narrow" w:cs="Calibri"/>
                <w:color w:val="000000" w:themeColor="text1"/>
                <w:sz w:val="20"/>
                <w:szCs w:val="20"/>
              </w:rPr>
              <w:t>5.122</w:t>
            </w:r>
          </w:p>
        </w:tc>
      </w:tr>
      <w:tr w:rsidR="001F6F2F" w:rsidRPr="006F6DEE" w14:paraId="05295AD3" w14:textId="77777777" w:rsidTr="009E43FD">
        <w:trPr>
          <w:trHeight w:val="255"/>
        </w:trPr>
        <w:tc>
          <w:tcPr>
            <w:tcW w:w="2835" w:type="dxa"/>
            <w:shd w:val="clear" w:color="auto" w:fill="auto"/>
            <w:noWrap/>
            <w:vAlign w:val="center"/>
            <w:hideMark/>
          </w:tcPr>
          <w:p w14:paraId="78741D08" w14:textId="77777777" w:rsidR="001F6F2F" w:rsidRPr="006F6DEE" w:rsidRDefault="001F6F2F" w:rsidP="001F6F2F">
            <w:pPr>
              <w:rPr>
                <w:rFonts w:ascii="Arial Narrow" w:hAnsi="Arial Narrow" w:cs="Calibri"/>
                <w:color w:val="000000"/>
                <w:sz w:val="20"/>
                <w:szCs w:val="20"/>
              </w:rPr>
            </w:pPr>
            <w:r w:rsidRPr="006F6DEE">
              <w:rPr>
                <w:rFonts w:ascii="Arial Narrow" w:hAnsi="Arial Narrow" w:cs="Calibri"/>
                <w:color w:val="000000"/>
                <w:sz w:val="20"/>
                <w:szCs w:val="20"/>
              </w:rPr>
              <w:t>36-48 meses</w:t>
            </w:r>
          </w:p>
        </w:tc>
        <w:tc>
          <w:tcPr>
            <w:tcW w:w="5954" w:type="dxa"/>
            <w:vAlign w:val="center"/>
          </w:tcPr>
          <w:p w14:paraId="2D1ED0D7" w14:textId="5FF40AD3" w:rsidR="001F6F2F" w:rsidRPr="006F6DEE" w:rsidRDefault="006F6DEE" w:rsidP="001F6F2F">
            <w:pPr>
              <w:jc w:val="right"/>
              <w:rPr>
                <w:rFonts w:ascii="Arial Narrow" w:hAnsi="Arial Narrow" w:cs="Calibri"/>
                <w:color w:val="000000"/>
                <w:sz w:val="20"/>
                <w:szCs w:val="20"/>
              </w:rPr>
            </w:pPr>
            <w:r w:rsidRPr="006F6DEE">
              <w:rPr>
                <w:rFonts w:ascii="Arial Narrow" w:hAnsi="Arial Narrow" w:cs="Calibri"/>
                <w:color w:val="000000"/>
                <w:sz w:val="20"/>
                <w:szCs w:val="20"/>
              </w:rPr>
              <w:t>2.781</w:t>
            </w:r>
          </w:p>
        </w:tc>
      </w:tr>
      <w:tr w:rsidR="001F6F2F" w:rsidRPr="006F6DEE" w14:paraId="4CD189C0" w14:textId="77777777" w:rsidTr="009E43FD">
        <w:trPr>
          <w:trHeight w:val="255"/>
        </w:trPr>
        <w:tc>
          <w:tcPr>
            <w:tcW w:w="2835" w:type="dxa"/>
            <w:shd w:val="clear" w:color="auto" w:fill="auto"/>
            <w:noWrap/>
            <w:vAlign w:val="center"/>
            <w:hideMark/>
          </w:tcPr>
          <w:p w14:paraId="160A1DBA" w14:textId="77777777" w:rsidR="001F6F2F" w:rsidRPr="006F6DEE" w:rsidRDefault="001F6F2F" w:rsidP="001F6F2F">
            <w:pPr>
              <w:rPr>
                <w:rFonts w:ascii="Arial Narrow" w:hAnsi="Arial Narrow" w:cs="Calibri"/>
                <w:color w:val="000000"/>
                <w:sz w:val="20"/>
                <w:szCs w:val="20"/>
              </w:rPr>
            </w:pPr>
            <w:r w:rsidRPr="006F6DEE">
              <w:rPr>
                <w:rFonts w:ascii="Arial Narrow" w:hAnsi="Arial Narrow" w:cs="Calibri"/>
                <w:color w:val="000000"/>
                <w:sz w:val="20"/>
                <w:szCs w:val="20"/>
              </w:rPr>
              <w:t>48-60 meses</w:t>
            </w:r>
          </w:p>
        </w:tc>
        <w:tc>
          <w:tcPr>
            <w:tcW w:w="5954" w:type="dxa"/>
            <w:vAlign w:val="center"/>
          </w:tcPr>
          <w:p w14:paraId="54D4108E" w14:textId="17EBDD10" w:rsidR="001F6F2F" w:rsidRPr="006F6DEE" w:rsidRDefault="006F6DEE" w:rsidP="001F6F2F">
            <w:pPr>
              <w:jc w:val="right"/>
              <w:rPr>
                <w:rFonts w:ascii="Arial Narrow" w:hAnsi="Arial Narrow" w:cs="Calibri"/>
                <w:color w:val="000000"/>
                <w:sz w:val="20"/>
                <w:szCs w:val="20"/>
              </w:rPr>
            </w:pPr>
            <w:r w:rsidRPr="006F6DEE">
              <w:rPr>
                <w:rFonts w:ascii="Arial Narrow" w:hAnsi="Arial Narrow" w:cs="Calibri"/>
                <w:color w:val="000000"/>
                <w:sz w:val="20"/>
                <w:szCs w:val="20"/>
              </w:rPr>
              <w:t>1.995</w:t>
            </w:r>
          </w:p>
        </w:tc>
      </w:tr>
      <w:tr w:rsidR="001F6F2F" w:rsidRPr="006F6DEE" w14:paraId="3062E748" w14:textId="77777777" w:rsidTr="009E43FD">
        <w:trPr>
          <w:trHeight w:val="255"/>
        </w:trPr>
        <w:tc>
          <w:tcPr>
            <w:tcW w:w="2835" w:type="dxa"/>
            <w:shd w:val="clear" w:color="auto" w:fill="auto"/>
            <w:noWrap/>
            <w:vAlign w:val="center"/>
            <w:hideMark/>
          </w:tcPr>
          <w:p w14:paraId="740BF9B1" w14:textId="77777777" w:rsidR="001F6F2F" w:rsidRPr="006F6DEE" w:rsidRDefault="001F6F2F" w:rsidP="001F6F2F">
            <w:pPr>
              <w:rPr>
                <w:rFonts w:ascii="Arial Narrow" w:hAnsi="Arial Narrow" w:cs="Calibri"/>
                <w:color w:val="000000"/>
                <w:sz w:val="20"/>
                <w:szCs w:val="20"/>
              </w:rPr>
            </w:pPr>
            <w:r w:rsidRPr="006F6DEE">
              <w:rPr>
                <w:rFonts w:ascii="Arial Narrow" w:hAnsi="Arial Narrow" w:cs="Calibri"/>
                <w:color w:val="000000"/>
                <w:sz w:val="20"/>
                <w:szCs w:val="20"/>
              </w:rPr>
              <w:t>&gt;60 meses</w:t>
            </w:r>
          </w:p>
        </w:tc>
        <w:tc>
          <w:tcPr>
            <w:tcW w:w="5954" w:type="dxa"/>
            <w:vAlign w:val="center"/>
          </w:tcPr>
          <w:p w14:paraId="26B9E569" w14:textId="10660D4A" w:rsidR="001F6F2F" w:rsidRPr="006F6DEE" w:rsidRDefault="006F6DEE" w:rsidP="001F6F2F">
            <w:pPr>
              <w:jc w:val="right"/>
              <w:rPr>
                <w:rFonts w:ascii="Arial Narrow" w:hAnsi="Arial Narrow" w:cs="Calibri"/>
                <w:color w:val="000000"/>
                <w:sz w:val="20"/>
                <w:szCs w:val="20"/>
              </w:rPr>
            </w:pPr>
            <w:r w:rsidRPr="006F6DEE">
              <w:rPr>
                <w:rFonts w:ascii="Arial Narrow" w:hAnsi="Arial Narrow" w:cs="Calibri"/>
                <w:color w:val="000000"/>
                <w:sz w:val="20"/>
                <w:szCs w:val="20"/>
              </w:rPr>
              <w:t>2.047</w:t>
            </w:r>
          </w:p>
        </w:tc>
      </w:tr>
      <w:tr w:rsidR="001F6F2F" w:rsidRPr="00801032" w14:paraId="3E36F728" w14:textId="77777777" w:rsidTr="009E43FD">
        <w:trPr>
          <w:trHeight w:val="255"/>
        </w:trPr>
        <w:tc>
          <w:tcPr>
            <w:tcW w:w="2835" w:type="dxa"/>
            <w:shd w:val="clear" w:color="auto" w:fill="9CC2E5" w:themeFill="accent1" w:themeFillTint="99"/>
            <w:noWrap/>
            <w:vAlign w:val="center"/>
            <w:hideMark/>
          </w:tcPr>
          <w:p w14:paraId="4ABADF7D" w14:textId="77777777" w:rsidR="001F6F2F" w:rsidRPr="006F6DEE" w:rsidRDefault="001F6F2F" w:rsidP="001F6F2F">
            <w:pPr>
              <w:rPr>
                <w:rFonts w:ascii="Arial" w:hAnsi="Arial" w:cs="Arial"/>
                <w:bCs/>
                <w:color w:val="000000"/>
                <w:sz w:val="18"/>
                <w:szCs w:val="18"/>
              </w:rPr>
            </w:pPr>
            <w:r w:rsidRPr="006F6DEE">
              <w:rPr>
                <w:rFonts w:ascii="Arial" w:hAnsi="Arial" w:cs="Arial"/>
                <w:bCs/>
                <w:color w:val="000000"/>
                <w:sz w:val="18"/>
                <w:szCs w:val="18"/>
              </w:rPr>
              <w:t>Total general</w:t>
            </w:r>
          </w:p>
        </w:tc>
        <w:tc>
          <w:tcPr>
            <w:tcW w:w="5954" w:type="dxa"/>
            <w:shd w:val="clear" w:color="auto" w:fill="9CC2E5" w:themeFill="accent1" w:themeFillTint="99"/>
            <w:vAlign w:val="center"/>
          </w:tcPr>
          <w:p w14:paraId="7BA23274" w14:textId="55F620CF" w:rsidR="001F6F2F" w:rsidRPr="006F6DEE" w:rsidRDefault="006F6DEE" w:rsidP="001F6F2F">
            <w:pPr>
              <w:jc w:val="right"/>
              <w:rPr>
                <w:rFonts w:ascii="Arial" w:hAnsi="Arial" w:cs="Arial"/>
                <w:bCs/>
                <w:color w:val="000000"/>
                <w:sz w:val="18"/>
                <w:szCs w:val="18"/>
              </w:rPr>
            </w:pPr>
            <w:r w:rsidRPr="006F6DEE">
              <w:rPr>
                <w:rFonts w:ascii="Arial" w:hAnsi="Arial" w:cs="Arial"/>
                <w:bCs/>
                <w:color w:val="000000"/>
                <w:sz w:val="18"/>
                <w:szCs w:val="18"/>
              </w:rPr>
              <w:t>11.945</w:t>
            </w:r>
          </w:p>
        </w:tc>
      </w:tr>
    </w:tbl>
    <w:p w14:paraId="1E7AF1EA" w14:textId="41B01177" w:rsidR="00222EBC" w:rsidRPr="006F6DEE" w:rsidRDefault="1CB81393" w:rsidP="009E43FD">
      <w:pPr>
        <w:pStyle w:val="texto"/>
        <w:spacing w:before="240" w:after="240"/>
        <w:jc w:val="both"/>
        <w:rPr>
          <w:rFonts w:eastAsia="Calibri"/>
          <w:szCs w:val="26"/>
        </w:rPr>
      </w:pPr>
      <w:r w:rsidRPr="006F6DEE">
        <w:rPr>
          <w:rFonts w:eastAsia="Calibri"/>
          <w:szCs w:val="26"/>
        </w:rPr>
        <w:t xml:space="preserve">A estas personas, </w:t>
      </w:r>
      <w:r w:rsidR="00E558C5" w:rsidRPr="006F6DEE">
        <w:rPr>
          <w:rFonts w:eastAsia="Calibri"/>
          <w:szCs w:val="26"/>
        </w:rPr>
        <w:t>la administración pública</w:t>
      </w:r>
      <w:r w:rsidRPr="006F6DEE">
        <w:rPr>
          <w:rFonts w:eastAsia="Calibri"/>
          <w:szCs w:val="26"/>
        </w:rPr>
        <w:t xml:space="preserve"> debiera haberles ofrecido la participación en un empleo o formación. </w:t>
      </w:r>
      <w:r w:rsidR="78726B57" w:rsidRPr="006F6DEE">
        <w:rPr>
          <w:rFonts w:eastAsia="Calibri"/>
          <w:szCs w:val="26"/>
        </w:rPr>
        <w:t xml:space="preserve">Teniendo en cuenta la información proporcionada por el Servicio de Activación </w:t>
      </w:r>
      <w:r w:rsidR="78726B57" w:rsidRPr="006F6DEE">
        <w:rPr>
          <w:lang w:val="es-ES_tradnl"/>
        </w:rPr>
        <w:t>Laboral</w:t>
      </w:r>
      <w:r w:rsidR="78726B57" w:rsidRPr="006F6DEE">
        <w:rPr>
          <w:rFonts w:eastAsia="Calibri"/>
          <w:szCs w:val="26"/>
        </w:rPr>
        <w:t xml:space="preserve"> y Coordinación Territorial </w:t>
      </w:r>
      <w:r w:rsidR="0BD93AB6" w:rsidRPr="006F6DEE">
        <w:rPr>
          <w:rFonts w:eastAsia="Calibri"/>
          <w:szCs w:val="26"/>
        </w:rPr>
        <w:t>del SNE</w:t>
      </w:r>
      <w:r w:rsidR="006F6DEE">
        <w:rPr>
          <w:rFonts w:eastAsia="Calibri"/>
          <w:szCs w:val="26"/>
        </w:rPr>
        <w:t xml:space="preserve"> y por la Dirección General de Educación y Formación Profesional</w:t>
      </w:r>
      <w:r w:rsidR="78726B57" w:rsidRPr="006F6DEE">
        <w:rPr>
          <w:rFonts w:eastAsia="Calibri"/>
          <w:szCs w:val="26"/>
        </w:rPr>
        <w:t xml:space="preserve">, las personas que han recibido </w:t>
      </w:r>
      <w:r w:rsidR="0BD93AB6" w:rsidRPr="006F6DEE">
        <w:rPr>
          <w:rFonts w:eastAsia="Calibri"/>
          <w:szCs w:val="26"/>
        </w:rPr>
        <w:t>orientación</w:t>
      </w:r>
      <w:r w:rsidR="78726B57" w:rsidRPr="006F6DEE">
        <w:rPr>
          <w:rFonts w:eastAsia="Calibri"/>
          <w:szCs w:val="26"/>
        </w:rPr>
        <w:t xml:space="preserve"> y/o </w:t>
      </w:r>
      <w:r w:rsidR="0BD93AB6" w:rsidRPr="006F6DEE">
        <w:rPr>
          <w:rFonts w:eastAsia="Calibri"/>
          <w:szCs w:val="26"/>
        </w:rPr>
        <w:t>formación</w:t>
      </w:r>
      <w:r w:rsidR="42CD5C8B" w:rsidRPr="006F6DEE">
        <w:rPr>
          <w:rFonts w:eastAsia="Calibri"/>
          <w:szCs w:val="26"/>
        </w:rPr>
        <w:t xml:space="preserve"> durante el periodo 2019-2023</w:t>
      </w:r>
      <w:r w:rsidR="78726B57" w:rsidRPr="006F6DEE">
        <w:rPr>
          <w:rFonts w:eastAsia="Calibri"/>
          <w:szCs w:val="26"/>
        </w:rPr>
        <w:t xml:space="preserve"> son las siguientes:</w:t>
      </w:r>
    </w:p>
    <w:tbl>
      <w:tblPr>
        <w:tblW w:w="8789"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35"/>
        <w:gridCol w:w="1417"/>
        <w:gridCol w:w="1418"/>
        <w:gridCol w:w="1417"/>
        <w:gridCol w:w="1702"/>
      </w:tblGrid>
      <w:tr w:rsidR="00C44CFA" w:rsidRPr="006F57C0" w14:paraId="7D260378" w14:textId="77777777" w:rsidTr="00596733">
        <w:trPr>
          <w:trHeight w:val="284"/>
        </w:trPr>
        <w:tc>
          <w:tcPr>
            <w:tcW w:w="2835" w:type="dxa"/>
            <w:tcBorders>
              <w:bottom w:val="single" w:sz="2" w:space="0" w:color="auto"/>
            </w:tcBorders>
            <w:shd w:val="clear" w:color="auto" w:fill="9CC2E5" w:themeFill="accent1" w:themeFillTint="99"/>
            <w:noWrap/>
            <w:vAlign w:val="center"/>
          </w:tcPr>
          <w:p w14:paraId="5630AD66" w14:textId="77777777" w:rsidR="00C44CFA" w:rsidRPr="006F6DEE" w:rsidRDefault="00C44CFA" w:rsidP="00806E8B">
            <w:pPr>
              <w:rPr>
                <w:rFonts w:ascii="Arial" w:hAnsi="Arial" w:cs="Arial"/>
                <w:bCs/>
                <w:color w:val="000000"/>
                <w:sz w:val="18"/>
                <w:szCs w:val="18"/>
              </w:rPr>
            </w:pPr>
          </w:p>
        </w:tc>
        <w:tc>
          <w:tcPr>
            <w:tcW w:w="2835" w:type="dxa"/>
            <w:gridSpan w:val="2"/>
            <w:tcBorders>
              <w:bottom w:val="single" w:sz="2" w:space="0" w:color="auto"/>
              <w:right w:val="single" w:sz="4" w:space="0" w:color="auto"/>
            </w:tcBorders>
            <w:shd w:val="clear" w:color="auto" w:fill="9CC2E5" w:themeFill="accent1" w:themeFillTint="99"/>
            <w:vAlign w:val="center"/>
          </w:tcPr>
          <w:p w14:paraId="7F7C3260" w14:textId="1D8F4548" w:rsidR="00C44CFA" w:rsidRPr="006F57C0" w:rsidRDefault="006F6DEE" w:rsidP="006B0DF7">
            <w:pPr>
              <w:jc w:val="center"/>
              <w:rPr>
                <w:rFonts w:ascii="Arial" w:hAnsi="Arial" w:cs="Arial"/>
                <w:bCs/>
                <w:color w:val="000000"/>
                <w:sz w:val="18"/>
                <w:szCs w:val="18"/>
              </w:rPr>
            </w:pPr>
            <w:r w:rsidRPr="006F57C0">
              <w:rPr>
                <w:rFonts w:ascii="Arial" w:hAnsi="Arial" w:cs="Arial"/>
                <w:bCs/>
                <w:color w:val="000000"/>
                <w:sz w:val="18"/>
                <w:szCs w:val="18"/>
              </w:rPr>
              <w:t>Formación</w:t>
            </w:r>
          </w:p>
        </w:tc>
        <w:tc>
          <w:tcPr>
            <w:tcW w:w="3119" w:type="dxa"/>
            <w:gridSpan w:val="2"/>
            <w:tcBorders>
              <w:left w:val="single" w:sz="4" w:space="0" w:color="auto"/>
              <w:bottom w:val="single" w:sz="2" w:space="0" w:color="auto"/>
            </w:tcBorders>
            <w:shd w:val="clear" w:color="auto" w:fill="9CC2E5" w:themeFill="accent1" w:themeFillTint="99"/>
            <w:vAlign w:val="center"/>
          </w:tcPr>
          <w:p w14:paraId="65080246" w14:textId="393AFA9D" w:rsidR="00C44CFA" w:rsidRPr="006F57C0" w:rsidRDefault="006F6DEE" w:rsidP="006B0DF7">
            <w:pPr>
              <w:jc w:val="center"/>
              <w:rPr>
                <w:rFonts w:ascii="Arial" w:hAnsi="Arial" w:cs="Arial"/>
                <w:bCs/>
                <w:color w:val="000000"/>
                <w:sz w:val="18"/>
                <w:szCs w:val="18"/>
              </w:rPr>
            </w:pPr>
            <w:r w:rsidRPr="006F57C0">
              <w:rPr>
                <w:rFonts w:ascii="Arial" w:hAnsi="Arial" w:cs="Arial"/>
                <w:bCs/>
                <w:color w:val="000000"/>
                <w:sz w:val="18"/>
                <w:szCs w:val="18"/>
              </w:rPr>
              <w:t>Empleo</w:t>
            </w:r>
          </w:p>
        </w:tc>
      </w:tr>
      <w:tr w:rsidR="00C44CFA" w:rsidRPr="006F57C0" w14:paraId="26BB3BB9" w14:textId="77777777" w:rsidTr="00596733">
        <w:trPr>
          <w:trHeight w:val="284"/>
        </w:trPr>
        <w:tc>
          <w:tcPr>
            <w:tcW w:w="2835" w:type="dxa"/>
            <w:tcBorders>
              <w:top w:val="single" w:sz="2" w:space="0" w:color="auto"/>
            </w:tcBorders>
            <w:shd w:val="clear" w:color="auto" w:fill="9CC2E5" w:themeFill="accent1" w:themeFillTint="99"/>
            <w:noWrap/>
            <w:vAlign w:val="center"/>
            <w:hideMark/>
          </w:tcPr>
          <w:p w14:paraId="0888C247" w14:textId="77777777" w:rsidR="00C44CFA" w:rsidRPr="006F57C0" w:rsidRDefault="00C44CFA" w:rsidP="00C44CFA">
            <w:pPr>
              <w:rPr>
                <w:rFonts w:ascii="Arial" w:hAnsi="Arial" w:cs="Arial"/>
                <w:bCs/>
                <w:color w:val="000000"/>
                <w:sz w:val="18"/>
                <w:szCs w:val="18"/>
              </w:rPr>
            </w:pPr>
            <w:r w:rsidRPr="006F57C0">
              <w:rPr>
                <w:rFonts w:ascii="Arial" w:hAnsi="Arial" w:cs="Arial"/>
                <w:bCs/>
                <w:color w:val="000000"/>
                <w:sz w:val="18"/>
                <w:szCs w:val="18"/>
              </w:rPr>
              <w:t xml:space="preserve">Duración ininterrumpida RG </w:t>
            </w:r>
          </w:p>
        </w:tc>
        <w:tc>
          <w:tcPr>
            <w:tcW w:w="1417" w:type="dxa"/>
            <w:tcBorders>
              <w:top w:val="single" w:sz="2" w:space="0" w:color="auto"/>
            </w:tcBorders>
            <w:shd w:val="clear" w:color="auto" w:fill="9CC2E5" w:themeFill="accent1" w:themeFillTint="99"/>
            <w:vAlign w:val="center"/>
          </w:tcPr>
          <w:p w14:paraId="0BC3F7AA" w14:textId="77777777" w:rsidR="00C44CFA" w:rsidRPr="006F57C0" w:rsidRDefault="00C44CFA" w:rsidP="006B0DF7">
            <w:pPr>
              <w:jc w:val="right"/>
              <w:rPr>
                <w:rFonts w:ascii="Arial" w:hAnsi="Arial" w:cs="Arial"/>
                <w:bCs/>
                <w:color w:val="000000"/>
                <w:sz w:val="18"/>
                <w:szCs w:val="18"/>
              </w:rPr>
            </w:pPr>
            <w:r w:rsidRPr="006F57C0">
              <w:rPr>
                <w:rFonts w:ascii="Arial" w:hAnsi="Arial" w:cs="Arial"/>
                <w:bCs/>
                <w:color w:val="000000"/>
                <w:sz w:val="18"/>
                <w:szCs w:val="18"/>
              </w:rPr>
              <w:t>S</w:t>
            </w:r>
            <w:r w:rsidR="006B0DF7" w:rsidRPr="006F57C0">
              <w:rPr>
                <w:rFonts w:ascii="Arial" w:hAnsi="Arial" w:cs="Arial"/>
                <w:bCs/>
                <w:color w:val="000000"/>
                <w:sz w:val="18"/>
                <w:szCs w:val="18"/>
              </w:rPr>
              <w:t>í</w:t>
            </w:r>
            <w:r w:rsidRPr="006F57C0">
              <w:rPr>
                <w:rFonts w:ascii="Arial" w:hAnsi="Arial" w:cs="Arial"/>
                <w:bCs/>
                <w:color w:val="000000"/>
                <w:sz w:val="18"/>
                <w:szCs w:val="18"/>
              </w:rPr>
              <w:t xml:space="preserve"> reciben</w:t>
            </w:r>
          </w:p>
        </w:tc>
        <w:tc>
          <w:tcPr>
            <w:tcW w:w="1418" w:type="dxa"/>
            <w:tcBorders>
              <w:top w:val="single" w:sz="2" w:space="0" w:color="auto"/>
              <w:right w:val="single" w:sz="4" w:space="0" w:color="auto"/>
            </w:tcBorders>
            <w:shd w:val="clear" w:color="auto" w:fill="9CC2E5" w:themeFill="accent1" w:themeFillTint="99"/>
            <w:vAlign w:val="center"/>
          </w:tcPr>
          <w:p w14:paraId="334B46C6" w14:textId="77777777" w:rsidR="00C44CFA" w:rsidRPr="006F57C0" w:rsidRDefault="00C44CFA" w:rsidP="006B0DF7">
            <w:pPr>
              <w:jc w:val="right"/>
              <w:rPr>
                <w:rFonts w:ascii="Arial" w:hAnsi="Arial" w:cs="Arial"/>
                <w:bCs/>
                <w:color w:val="000000"/>
                <w:sz w:val="18"/>
                <w:szCs w:val="18"/>
              </w:rPr>
            </w:pPr>
            <w:r w:rsidRPr="006F57C0">
              <w:rPr>
                <w:rFonts w:ascii="Arial" w:hAnsi="Arial" w:cs="Arial"/>
                <w:bCs/>
                <w:color w:val="000000"/>
                <w:sz w:val="18"/>
                <w:szCs w:val="18"/>
              </w:rPr>
              <w:t>No reciben</w:t>
            </w:r>
          </w:p>
        </w:tc>
        <w:tc>
          <w:tcPr>
            <w:tcW w:w="1417" w:type="dxa"/>
            <w:tcBorders>
              <w:top w:val="single" w:sz="2" w:space="0" w:color="auto"/>
              <w:left w:val="single" w:sz="4" w:space="0" w:color="auto"/>
            </w:tcBorders>
            <w:shd w:val="clear" w:color="auto" w:fill="9CC2E5" w:themeFill="accent1" w:themeFillTint="99"/>
            <w:vAlign w:val="center"/>
          </w:tcPr>
          <w:p w14:paraId="74AFCD5E" w14:textId="18944F66" w:rsidR="00C44CFA" w:rsidRPr="006F57C0" w:rsidRDefault="00C44CFA" w:rsidP="00C25AAC">
            <w:pPr>
              <w:jc w:val="right"/>
              <w:rPr>
                <w:rFonts w:ascii="Arial" w:hAnsi="Arial" w:cs="Arial"/>
                <w:bCs/>
                <w:color w:val="000000"/>
                <w:sz w:val="18"/>
                <w:szCs w:val="18"/>
              </w:rPr>
            </w:pPr>
            <w:r w:rsidRPr="006F57C0">
              <w:rPr>
                <w:rFonts w:ascii="Arial" w:hAnsi="Arial" w:cs="Arial"/>
                <w:bCs/>
                <w:color w:val="000000"/>
                <w:sz w:val="18"/>
                <w:szCs w:val="18"/>
              </w:rPr>
              <w:t>S</w:t>
            </w:r>
            <w:r w:rsidR="006B0DF7" w:rsidRPr="006F57C0">
              <w:rPr>
                <w:rFonts w:ascii="Arial" w:hAnsi="Arial" w:cs="Arial"/>
                <w:bCs/>
                <w:color w:val="000000"/>
                <w:sz w:val="18"/>
                <w:szCs w:val="18"/>
              </w:rPr>
              <w:t>í</w:t>
            </w:r>
            <w:r w:rsidRPr="006F57C0">
              <w:rPr>
                <w:rFonts w:ascii="Arial" w:hAnsi="Arial" w:cs="Arial"/>
                <w:bCs/>
                <w:color w:val="000000"/>
                <w:sz w:val="18"/>
                <w:szCs w:val="18"/>
              </w:rPr>
              <w:t xml:space="preserve"> </w:t>
            </w:r>
            <w:r w:rsidR="00C25AAC" w:rsidRPr="006F57C0">
              <w:rPr>
                <w:rFonts w:ascii="Arial" w:hAnsi="Arial" w:cs="Arial"/>
                <w:bCs/>
                <w:color w:val="000000"/>
                <w:sz w:val="18"/>
                <w:szCs w:val="18"/>
              </w:rPr>
              <w:t>contrato</w:t>
            </w:r>
          </w:p>
        </w:tc>
        <w:tc>
          <w:tcPr>
            <w:tcW w:w="1702" w:type="dxa"/>
            <w:tcBorders>
              <w:top w:val="single" w:sz="2" w:space="0" w:color="auto"/>
            </w:tcBorders>
            <w:shd w:val="clear" w:color="auto" w:fill="9CC2E5" w:themeFill="accent1" w:themeFillTint="99"/>
            <w:vAlign w:val="center"/>
          </w:tcPr>
          <w:p w14:paraId="59BB05A9" w14:textId="736474C9" w:rsidR="00C44CFA" w:rsidRPr="006F57C0" w:rsidRDefault="006F6DEE" w:rsidP="00C25AAC">
            <w:pPr>
              <w:jc w:val="right"/>
              <w:rPr>
                <w:rFonts w:ascii="Arial" w:hAnsi="Arial" w:cs="Arial"/>
                <w:bCs/>
                <w:color w:val="000000"/>
                <w:sz w:val="18"/>
                <w:szCs w:val="18"/>
              </w:rPr>
            </w:pPr>
            <w:r w:rsidRPr="006F57C0">
              <w:rPr>
                <w:rFonts w:ascii="Arial" w:hAnsi="Arial" w:cs="Arial"/>
                <w:bCs/>
                <w:color w:val="000000"/>
                <w:sz w:val="18"/>
                <w:szCs w:val="18"/>
              </w:rPr>
              <w:t xml:space="preserve">No </w:t>
            </w:r>
            <w:r w:rsidR="00C25AAC" w:rsidRPr="006F57C0">
              <w:rPr>
                <w:rFonts w:ascii="Arial" w:hAnsi="Arial" w:cs="Arial"/>
                <w:bCs/>
                <w:color w:val="000000"/>
                <w:sz w:val="18"/>
                <w:szCs w:val="18"/>
              </w:rPr>
              <w:t>contrato</w:t>
            </w:r>
          </w:p>
        </w:tc>
      </w:tr>
      <w:tr w:rsidR="00C44CFA" w:rsidRPr="006F57C0" w14:paraId="205332C6" w14:textId="77777777" w:rsidTr="00C94056">
        <w:trPr>
          <w:trHeight w:val="284"/>
        </w:trPr>
        <w:tc>
          <w:tcPr>
            <w:tcW w:w="2835" w:type="dxa"/>
            <w:tcBorders>
              <w:bottom w:val="single" w:sz="2" w:space="0" w:color="auto"/>
            </w:tcBorders>
            <w:shd w:val="clear" w:color="auto" w:fill="auto"/>
            <w:noWrap/>
            <w:vAlign w:val="center"/>
            <w:hideMark/>
          </w:tcPr>
          <w:p w14:paraId="336C9DFF" w14:textId="77777777" w:rsidR="00C44CFA" w:rsidRPr="006F57C0" w:rsidRDefault="00C44CFA" w:rsidP="00C44CFA">
            <w:pPr>
              <w:rPr>
                <w:rFonts w:ascii="Arial Narrow" w:hAnsi="Arial Narrow" w:cs="Calibri"/>
                <w:color w:val="000000"/>
                <w:sz w:val="20"/>
                <w:szCs w:val="20"/>
              </w:rPr>
            </w:pPr>
            <w:r w:rsidRPr="006F57C0">
              <w:rPr>
                <w:rFonts w:ascii="Arial Narrow" w:hAnsi="Arial Narrow" w:cs="Calibri"/>
                <w:color w:val="000000"/>
                <w:sz w:val="20"/>
                <w:szCs w:val="20"/>
              </w:rPr>
              <w:t>24-36 meses</w:t>
            </w:r>
          </w:p>
        </w:tc>
        <w:tc>
          <w:tcPr>
            <w:tcW w:w="1417" w:type="dxa"/>
            <w:tcBorders>
              <w:bottom w:val="single" w:sz="2" w:space="0" w:color="auto"/>
            </w:tcBorders>
            <w:vAlign w:val="center"/>
          </w:tcPr>
          <w:p w14:paraId="566E7B2A" w14:textId="66CC35A6" w:rsidR="00C44CFA" w:rsidRPr="006F57C0" w:rsidRDefault="006F57C0" w:rsidP="006B0DF7">
            <w:pPr>
              <w:jc w:val="right"/>
              <w:rPr>
                <w:rFonts w:ascii="Arial Narrow" w:hAnsi="Arial Narrow" w:cs="Calibri"/>
                <w:color w:val="000000"/>
                <w:sz w:val="20"/>
                <w:szCs w:val="20"/>
              </w:rPr>
            </w:pPr>
            <w:r>
              <w:rPr>
                <w:rFonts w:ascii="Arial Narrow" w:hAnsi="Arial Narrow" w:cs="Calibri"/>
                <w:color w:val="000000"/>
                <w:sz w:val="20"/>
                <w:szCs w:val="20"/>
              </w:rPr>
              <w:t>1.998</w:t>
            </w:r>
          </w:p>
        </w:tc>
        <w:tc>
          <w:tcPr>
            <w:tcW w:w="1418" w:type="dxa"/>
            <w:tcBorders>
              <w:bottom w:val="single" w:sz="2" w:space="0" w:color="auto"/>
              <w:right w:val="single" w:sz="4" w:space="0" w:color="auto"/>
            </w:tcBorders>
            <w:vAlign w:val="center"/>
          </w:tcPr>
          <w:p w14:paraId="1D4A747A" w14:textId="3A8A655A" w:rsidR="00C44CFA" w:rsidRPr="006F57C0" w:rsidRDefault="007B6491" w:rsidP="006B0DF7">
            <w:pPr>
              <w:jc w:val="right"/>
              <w:rPr>
                <w:rFonts w:ascii="Arial Narrow" w:hAnsi="Arial Narrow" w:cs="Calibri"/>
                <w:color w:val="000000"/>
                <w:sz w:val="20"/>
                <w:szCs w:val="20"/>
              </w:rPr>
            </w:pPr>
            <w:r>
              <w:rPr>
                <w:rFonts w:ascii="Arial Narrow" w:hAnsi="Arial Narrow" w:cs="Calibri"/>
                <w:color w:val="000000"/>
                <w:sz w:val="20"/>
                <w:szCs w:val="20"/>
              </w:rPr>
              <w:t>3.125</w:t>
            </w:r>
          </w:p>
        </w:tc>
        <w:tc>
          <w:tcPr>
            <w:tcW w:w="1417" w:type="dxa"/>
            <w:tcBorders>
              <w:left w:val="single" w:sz="4" w:space="0" w:color="auto"/>
              <w:bottom w:val="single" w:sz="2" w:space="0" w:color="auto"/>
            </w:tcBorders>
            <w:vAlign w:val="center"/>
          </w:tcPr>
          <w:p w14:paraId="032FB0B1" w14:textId="1EC6B3E5" w:rsidR="00C44CFA" w:rsidRPr="006F57C0" w:rsidRDefault="006F6DEE" w:rsidP="006B0DF7">
            <w:pPr>
              <w:jc w:val="right"/>
              <w:rPr>
                <w:rFonts w:ascii="Arial Narrow" w:hAnsi="Arial Narrow" w:cs="Calibri"/>
                <w:color w:val="000000"/>
                <w:sz w:val="20"/>
                <w:szCs w:val="20"/>
              </w:rPr>
            </w:pPr>
            <w:r w:rsidRPr="006F57C0">
              <w:rPr>
                <w:rFonts w:ascii="Arial Narrow" w:hAnsi="Arial Narrow" w:cs="Calibri"/>
                <w:color w:val="000000"/>
                <w:sz w:val="20"/>
                <w:szCs w:val="20"/>
              </w:rPr>
              <w:t>3.164</w:t>
            </w:r>
          </w:p>
        </w:tc>
        <w:tc>
          <w:tcPr>
            <w:tcW w:w="1702" w:type="dxa"/>
            <w:tcBorders>
              <w:bottom w:val="single" w:sz="2" w:space="0" w:color="auto"/>
            </w:tcBorders>
            <w:vAlign w:val="center"/>
          </w:tcPr>
          <w:p w14:paraId="0763160A" w14:textId="07E51198" w:rsidR="00C44CFA" w:rsidRPr="006F57C0" w:rsidRDefault="006F6DEE" w:rsidP="006B0DF7">
            <w:pPr>
              <w:jc w:val="right"/>
              <w:rPr>
                <w:rFonts w:ascii="Arial Narrow" w:hAnsi="Arial Narrow" w:cs="Calibri"/>
                <w:color w:val="000000"/>
                <w:sz w:val="20"/>
                <w:szCs w:val="20"/>
              </w:rPr>
            </w:pPr>
            <w:r w:rsidRPr="006F57C0">
              <w:rPr>
                <w:rFonts w:ascii="Arial Narrow" w:hAnsi="Arial Narrow" w:cs="Calibri"/>
                <w:color w:val="000000"/>
                <w:sz w:val="20"/>
                <w:szCs w:val="20"/>
              </w:rPr>
              <w:t>1.958</w:t>
            </w:r>
          </w:p>
        </w:tc>
      </w:tr>
      <w:tr w:rsidR="00C44CFA" w:rsidRPr="006F57C0" w14:paraId="1EF63E4D" w14:textId="77777777" w:rsidTr="00C94056">
        <w:trPr>
          <w:trHeight w:val="284"/>
        </w:trPr>
        <w:tc>
          <w:tcPr>
            <w:tcW w:w="2835" w:type="dxa"/>
            <w:tcBorders>
              <w:top w:val="single" w:sz="2" w:space="0" w:color="auto"/>
              <w:bottom w:val="single" w:sz="2" w:space="0" w:color="auto"/>
              <w:right w:val="nil"/>
            </w:tcBorders>
            <w:shd w:val="clear" w:color="auto" w:fill="auto"/>
            <w:noWrap/>
            <w:vAlign w:val="center"/>
            <w:hideMark/>
          </w:tcPr>
          <w:p w14:paraId="5827E625" w14:textId="77777777" w:rsidR="00C44CFA" w:rsidRPr="006F57C0" w:rsidRDefault="00C44CFA" w:rsidP="00C44CFA">
            <w:pPr>
              <w:rPr>
                <w:rFonts w:ascii="Arial Narrow" w:hAnsi="Arial Narrow" w:cs="Calibri"/>
                <w:color w:val="000000"/>
                <w:sz w:val="20"/>
                <w:szCs w:val="20"/>
              </w:rPr>
            </w:pPr>
            <w:r w:rsidRPr="006F57C0">
              <w:rPr>
                <w:rFonts w:ascii="Arial Narrow" w:hAnsi="Arial Narrow" w:cs="Calibri"/>
                <w:color w:val="000000"/>
                <w:sz w:val="20"/>
                <w:szCs w:val="20"/>
              </w:rPr>
              <w:t>36-48 meses</w:t>
            </w:r>
          </w:p>
        </w:tc>
        <w:tc>
          <w:tcPr>
            <w:tcW w:w="1417" w:type="dxa"/>
            <w:tcBorders>
              <w:top w:val="single" w:sz="2" w:space="0" w:color="auto"/>
              <w:left w:val="nil"/>
              <w:bottom w:val="single" w:sz="2" w:space="0" w:color="auto"/>
              <w:right w:val="nil"/>
            </w:tcBorders>
            <w:vAlign w:val="center"/>
          </w:tcPr>
          <w:p w14:paraId="6B57933E" w14:textId="562E0E0E" w:rsidR="00C44CFA" w:rsidRPr="006F57C0" w:rsidRDefault="006F57C0" w:rsidP="006B0DF7">
            <w:pPr>
              <w:jc w:val="right"/>
              <w:rPr>
                <w:rFonts w:ascii="Arial Narrow" w:hAnsi="Arial Narrow" w:cs="Calibri"/>
                <w:color w:val="000000"/>
                <w:sz w:val="20"/>
                <w:szCs w:val="20"/>
              </w:rPr>
            </w:pPr>
            <w:r>
              <w:rPr>
                <w:rFonts w:ascii="Arial Narrow" w:hAnsi="Arial Narrow" w:cs="Calibri"/>
                <w:color w:val="000000"/>
                <w:sz w:val="20"/>
                <w:szCs w:val="20"/>
              </w:rPr>
              <w:t>1.064</w:t>
            </w:r>
          </w:p>
        </w:tc>
        <w:tc>
          <w:tcPr>
            <w:tcW w:w="1418" w:type="dxa"/>
            <w:tcBorders>
              <w:top w:val="single" w:sz="2" w:space="0" w:color="auto"/>
              <w:left w:val="nil"/>
              <w:bottom w:val="single" w:sz="2" w:space="0" w:color="auto"/>
              <w:right w:val="nil"/>
            </w:tcBorders>
            <w:vAlign w:val="center"/>
          </w:tcPr>
          <w:p w14:paraId="09093BE5" w14:textId="3660FE71" w:rsidR="00C44CFA" w:rsidRPr="006F57C0" w:rsidRDefault="007B6491" w:rsidP="006B0DF7">
            <w:pPr>
              <w:jc w:val="right"/>
              <w:rPr>
                <w:rFonts w:ascii="Arial Narrow" w:hAnsi="Arial Narrow" w:cs="Calibri"/>
                <w:color w:val="000000"/>
                <w:sz w:val="20"/>
                <w:szCs w:val="20"/>
              </w:rPr>
            </w:pPr>
            <w:r>
              <w:rPr>
                <w:rFonts w:ascii="Arial Narrow" w:hAnsi="Arial Narrow" w:cs="Calibri"/>
                <w:color w:val="000000"/>
                <w:sz w:val="20"/>
                <w:szCs w:val="20"/>
              </w:rPr>
              <w:t>1.717</w:t>
            </w:r>
          </w:p>
        </w:tc>
        <w:tc>
          <w:tcPr>
            <w:tcW w:w="1417" w:type="dxa"/>
            <w:tcBorders>
              <w:top w:val="single" w:sz="2" w:space="0" w:color="auto"/>
              <w:left w:val="nil"/>
              <w:bottom w:val="single" w:sz="2" w:space="0" w:color="auto"/>
              <w:right w:val="nil"/>
            </w:tcBorders>
            <w:vAlign w:val="center"/>
          </w:tcPr>
          <w:p w14:paraId="25E8F349" w14:textId="44A08C59" w:rsidR="00C44CFA" w:rsidRPr="006F57C0" w:rsidRDefault="006F6DEE" w:rsidP="006B0DF7">
            <w:pPr>
              <w:jc w:val="right"/>
              <w:rPr>
                <w:rFonts w:ascii="Arial Narrow" w:hAnsi="Arial Narrow" w:cs="Calibri"/>
                <w:color w:val="000000"/>
                <w:sz w:val="20"/>
                <w:szCs w:val="20"/>
              </w:rPr>
            </w:pPr>
            <w:r w:rsidRPr="006F57C0">
              <w:rPr>
                <w:rFonts w:ascii="Arial Narrow" w:hAnsi="Arial Narrow" w:cs="Calibri"/>
                <w:color w:val="000000"/>
                <w:sz w:val="20"/>
                <w:szCs w:val="20"/>
              </w:rPr>
              <w:t>1.593</w:t>
            </w:r>
          </w:p>
        </w:tc>
        <w:tc>
          <w:tcPr>
            <w:tcW w:w="1702" w:type="dxa"/>
            <w:tcBorders>
              <w:top w:val="single" w:sz="2" w:space="0" w:color="auto"/>
              <w:left w:val="nil"/>
              <w:bottom w:val="single" w:sz="2" w:space="0" w:color="auto"/>
            </w:tcBorders>
            <w:vAlign w:val="center"/>
          </w:tcPr>
          <w:p w14:paraId="284CA81E" w14:textId="4047437B" w:rsidR="00C44CFA" w:rsidRPr="006F57C0" w:rsidRDefault="006F6DEE" w:rsidP="006B0DF7">
            <w:pPr>
              <w:jc w:val="right"/>
              <w:rPr>
                <w:rFonts w:ascii="Arial Narrow" w:hAnsi="Arial Narrow" w:cs="Calibri"/>
                <w:color w:val="000000"/>
                <w:sz w:val="20"/>
                <w:szCs w:val="20"/>
              </w:rPr>
            </w:pPr>
            <w:r w:rsidRPr="006F57C0">
              <w:rPr>
                <w:rFonts w:ascii="Arial Narrow" w:hAnsi="Arial Narrow" w:cs="Calibri"/>
                <w:color w:val="000000"/>
                <w:sz w:val="20"/>
                <w:szCs w:val="20"/>
              </w:rPr>
              <w:t>1.188</w:t>
            </w:r>
          </w:p>
        </w:tc>
      </w:tr>
      <w:tr w:rsidR="00C44CFA" w:rsidRPr="006F57C0" w14:paraId="321E9CEF" w14:textId="77777777" w:rsidTr="00C94056">
        <w:trPr>
          <w:trHeight w:val="284"/>
        </w:trPr>
        <w:tc>
          <w:tcPr>
            <w:tcW w:w="2835" w:type="dxa"/>
            <w:tcBorders>
              <w:top w:val="single" w:sz="2" w:space="0" w:color="auto"/>
              <w:bottom w:val="single" w:sz="2" w:space="0" w:color="auto"/>
              <w:right w:val="nil"/>
            </w:tcBorders>
            <w:shd w:val="clear" w:color="auto" w:fill="auto"/>
            <w:noWrap/>
            <w:vAlign w:val="center"/>
            <w:hideMark/>
          </w:tcPr>
          <w:p w14:paraId="6C598EC4" w14:textId="77777777" w:rsidR="00C44CFA" w:rsidRPr="006F57C0" w:rsidRDefault="00C44CFA" w:rsidP="00C44CFA">
            <w:pPr>
              <w:rPr>
                <w:rFonts w:ascii="Arial Narrow" w:hAnsi="Arial Narrow" w:cs="Calibri"/>
                <w:color w:val="000000"/>
                <w:sz w:val="20"/>
                <w:szCs w:val="20"/>
              </w:rPr>
            </w:pPr>
            <w:r w:rsidRPr="006F57C0">
              <w:rPr>
                <w:rFonts w:ascii="Arial Narrow" w:hAnsi="Arial Narrow" w:cs="Calibri"/>
                <w:color w:val="000000"/>
                <w:sz w:val="20"/>
                <w:szCs w:val="20"/>
              </w:rPr>
              <w:t>48-60 meses</w:t>
            </w:r>
          </w:p>
        </w:tc>
        <w:tc>
          <w:tcPr>
            <w:tcW w:w="1417" w:type="dxa"/>
            <w:tcBorders>
              <w:top w:val="single" w:sz="2" w:space="0" w:color="auto"/>
              <w:left w:val="nil"/>
              <w:bottom w:val="single" w:sz="2" w:space="0" w:color="auto"/>
              <w:right w:val="nil"/>
            </w:tcBorders>
            <w:vAlign w:val="center"/>
          </w:tcPr>
          <w:p w14:paraId="3EA9AF35" w14:textId="4C123B4F" w:rsidR="00C44CFA" w:rsidRPr="006F57C0" w:rsidRDefault="006F57C0" w:rsidP="006B0DF7">
            <w:pPr>
              <w:jc w:val="right"/>
              <w:rPr>
                <w:rFonts w:ascii="Arial Narrow" w:hAnsi="Arial Narrow" w:cs="Calibri"/>
                <w:color w:val="000000"/>
                <w:sz w:val="20"/>
                <w:szCs w:val="20"/>
              </w:rPr>
            </w:pPr>
            <w:r>
              <w:rPr>
                <w:rFonts w:ascii="Arial Narrow" w:hAnsi="Arial Narrow" w:cs="Calibri"/>
                <w:color w:val="000000"/>
                <w:sz w:val="20"/>
                <w:szCs w:val="20"/>
              </w:rPr>
              <w:t>817</w:t>
            </w:r>
          </w:p>
        </w:tc>
        <w:tc>
          <w:tcPr>
            <w:tcW w:w="1418" w:type="dxa"/>
            <w:tcBorders>
              <w:top w:val="single" w:sz="2" w:space="0" w:color="auto"/>
              <w:left w:val="nil"/>
              <w:bottom w:val="single" w:sz="2" w:space="0" w:color="auto"/>
              <w:right w:val="nil"/>
            </w:tcBorders>
            <w:vAlign w:val="center"/>
          </w:tcPr>
          <w:p w14:paraId="6430F6F2" w14:textId="4FD27D50" w:rsidR="00C44CFA" w:rsidRPr="006F57C0" w:rsidRDefault="007B6491" w:rsidP="006B0DF7">
            <w:pPr>
              <w:jc w:val="right"/>
              <w:rPr>
                <w:rFonts w:ascii="Arial Narrow" w:hAnsi="Arial Narrow" w:cs="Calibri"/>
                <w:color w:val="000000"/>
                <w:sz w:val="20"/>
                <w:szCs w:val="20"/>
              </w:rPr>
            </w:pPr>
            <w:r>
              <w:rPr>
                <w:rFonts w:ascii="Arial Narrow" w:hAnsi="Arial Narrow" w:cs="Calibri"/>
                <w:color w:val="000000"/>
                <w:sz w:val="20"/>
                <w:szCs w:val="20"/>
              </w:rPr>
              <w:t>1.177</w:t>
            </w:r>
          </w:p>
        </w:tc>
        <w:tc>
          <w:tcPr>
            <w:tcW w:w="1417" w:type="dxa"/>
            <w:tcBorders>
              <w:top w:val="single" w:sz="2" w:space="0" w:color="auto"/>
              <w:left w:val="nil"/>
              <w:bottom w:val="single" w:sz="2" w:space="0" w:color="auto"/>
              <w:right w:val="nil"/>
            </w:tcBorders>
            <w:vAlign w:val="center"/>
          </w:tcPr>
          <w:p w14:paraId="30D68CC9" w14:textId="75BEA44E" w:rsidR="00C44CFA" w:rsidRPr="006F57C0" w:rsidRDefault="006F6DEE" w:rsidP="006B0DF7">
            <w:pPr>
              <w:jc w:val="right"/>
              <w:rPr>
                <w:rFonts w:ascii="Arial Narrow" w:hAnsi="Arial Narrow" w:cs="Calibri"/>
                <w:color w:val="000000"/>
                <w:sz w:val="20"/>
                <w:szCs w:val="20"/>
              </w:rPr>
            </w:pPr>
            <w:r w:rsidRPr="006F57C0">
              <w:rPr>
                <w:rFonts w:ascii="Arial Narrow" w:hAnsi="Arial Narrow" w:cs="Calibri"/>
                <w:color w:val="000000"/>
                <w:sz w:val="20"/>
                <w:szCs w:val="20"/>
              </w:rPr>
              <w:t>970</w:t>
            </w:r>
          </w:p>
        </w:tc>
        <w:tc>
          <w:tcPr>
            <w:tcW w:w="1702" w:type="dxa"/>
            <w:tcBorders>
              <w:top w:val="single" w:sz="2" w:space="0" w:color="auto"/>
              <w:left w:val="nil"/>
              <w:bottom w:val="single" w:sz="2" w:space="0" w:color="auto"/>
            </w:tcBorders>
            <w:vAlign w:val="center"/>
          </w:tcPr>
          <w:p w14:paraId="0A657BBD" w14:textId="6F625CF8" w:rsidR="00C44CFA" w:rsidRPr="006F57C0" w:rsidRDefault="006F6DEE" w:rsidP="006B0DF7">
            <w:pPr>
              <w:jc w:val="right"/>
              <w:rPr>
                <w:rFonts w:ascii="Arial Narrow" w:hAnsi="Arial Narrow" w:cs="Calibri"/>
                <w:color w:val="000000"/>
                <w:sz w:val="20"/>
                <w:szCs w:val="20"/>
              </w:rPr>
            </w:pPr>
            <w:r w:rsidRPr="006F57C0">
              <w:rPr>
                <w:rFonts w:ascii="Arial Narrow" w:hAnsi="Arial Narrow" w:cs="Calibri"/>
                <w:color w:val="000000"/>
                <w:sz w:val="20"/>
                <w:szCs w:val="20"/>
              </w:rPr>
              <w:t>1.025</w:t>
            </w:r>
          </w:p>
        </w:tc>
      </w:tr>
      <w:tr w:rsidR="00C44CFA" w:rsidRPr="006F57C0" w14:paraId="42499778" w14:textId="77777777" w:rsidTr="00C94056">
        <w:trPr>
          <w:trHeight w:val="284"/>
        </w:trPr>
        <w:tc>
          <w:tcPr>
            <w:tcW w:w="2835" w:type="dxa"/>
            <w:tcBorders>
              <w:top w:val="single" w:sz="2" w:space="0" w:color="auto"/>
              <w:bottom w:val="single" w:sz="4" w:space="0" w:color="auto"/>
            </w:tcBorders>
            <w:shd w:val="clear" w:color="auto" w:fill="auto"/>
            <w:noWrap/>
            <w:vAlign w:val="center"/>
            <w:hideMark/>
          </w:tcPr>
          <w:p w14:paraId="132A3F9F" w14:textId="77777777" w:rsidR="00C44CFA" w:rsidRPr="006F57C0" w:rsidRDefault="00C44CFA" w:rsidP="00C44CFA">
            <w:pPr>
              <w:rPr>
                <w:rFonts w:ascii="Arial Narrow" w:hAnsi="Arial Narrow" w:cs="Calibri"/>
                <w:color w:val="000000"/>
                <w:sz w:val="20"/>
                <w:szCs w:val="20"/>
              </w:rPr>
            </w:pPr>
            <w:r w:rsidRPr="006F57C0">
              <w:rPr>
                <w:rFonts w:ascii="Arial Narrow" w:hAnsi="Arial Narrow" w:cs="Calibri"/>
                <w:color w:val="000000"/>
                <w:sz w:val="20"/>
                <w:szCs w:val="20"/>
              </w:rPr>
              <w:t>&gt;60 meses</w:t>
            </w:r>
          </w:p>
        </w:tc>
        <w:tc>
          <w:tcPr>
            <w:tcW w:w="1417" w:type="dxa"/>
            <w:tcBorders>
              <w:top w:val="single" w:sz="2" w:space="0" w:color="auto"/>
              <w:bottom w:val="single" w:sz="4" w:space="0" w:color="auto"/>
            </w:tcBorders>
            <w:vAlign w:val="center"/>
          </w:tcPr>
          <w:p w14:paraId="35027604" w14:textId="30E8BA02" w:rsidR="00C44CFA" w:rsidRPr="006F57C0" w:rsidRDefault="006F57C0" w:rsidP="006B0DF7">
            <w:pPr>
              <w:jc w:val="right"/>
              <w:rPr>
                <w:rFonts w:ascii="Arial Narrow" w:hAnsi="Arial Narrow" w:cs="Calibri"/>
                <w:color w:val="000000"/>
                <w:sz w:val="20"/>
                <w:szCs w:val="20"/>
              </w:rPr>
            </w:pPr>
            <w:r>
              <w:rPr>
                <w:rFonts w:ascii="Arial Narrow" w:hAnsi="Arial Narrow" w:cs="Calibri"/>
                <w:color w:val="000000"/>
                <w:sz w:val="20"/>
                <w:szCs w:val="20"/>
              </w:rPr>
              <w:t>700</w:t>
            </w:r>
          </w:p>
        </w:tc>
        <w:tc>
          <w:tcPr>
            <w:tcW w:w="1418" w:type="dxa"/>
            <w:tcBorders>
              <w:top w:val="single" w:sz="2" w:space="0" w:color="auto"/>
              <w:bottom w:val="single" w:sz="4" w:space="0" w:color="auto"/>
              <w:right w:val="single" w:sz="4" w:space="0" w:color="auto"/>
            </w:tcBorders>
            <w:vAlign w:val="center"/>
          </w:tcPr>
          <w:p w14:paraId="2BCEAF92" w14:textId="4F7091C2" w:rsidR="00C44CFA" w:rsidRPr="006F57C0" w:rsidRDefault="007B6491" w:rsidP="006B0DF7">
            <w:pPr>
              <w:jc w:val="right"/>
              <w:rPr>
                <w:rFonts w:ascii="Arial Narrow" w:hAnsi="Arial Narrow" w:cs="Calibri"/>
                <w:color w:val="000000"/>
                <w:sz w:val="20"/>
                <w:szCs w:val="20"/>
              </w:rPr>
            </w:pPr>
            <w:r>
              <w:rPr>
                <w:rFonts w:ascii="Arial Narrow" w:hAnsi="Arial Narrow" w:cs="Calibri"/>
                <w:color w:val="000000"/>
                <w:sz w:val="20"/>
                <w:szCs w:val="20"/>
              </w:rPr>
              <w:t>1.347</w:t>
            </w:r>
          </w:p>
        </w:tc>
        <w:tc>
          <w:tcPr>
            <w:tcW w:w="1417" w:type="dxa"/>
            <w:tcBorders>
              <w:top w:val="single" w:sz="2" w:space="0" w:color="auto"/>
              <w:left w:val="single" w:sz="4" w:space="0" w:color="auto"/>
              <w:bottom w:val="single" w:sz="4" w:space="0" w:color="auto"/>
            </w:tcBorders>
            <w:vAlign w:val="center"/>
          </w:tcPr>
          <w:p w14:paraId="7B019E4F" w14:textId="33084591" w:rsidR="00C44CFA" w:rsidRPr="006F57C0" w:rsidRDefault="006F6DEE" w:rsidP="006B0DF7">
            <w:pPr>
              <w:jc w:val="right"/>
              <w:rPr>
                <w:rFonts w:ascii="Arial Narrow" w:hAnsi="Arial Narrow" w:cs="Calibri"/>
                <w:color w:val="000000"/>
                <w:sz w:val="20"/>
                <w:szCs w:val="20"/>
              </w:rPr>
            </w:pPr>
            <w:r w:rsidRPr="006F57C0">
              <w:rPr>
                <w:rFonts w:ascii="Arial Narrow" w:hAnsi="Arial Narrow" w:cs="Calibri"/>
                <w:color w:val="000000"/>
                <w:sz w:val="20"/>
                <w:szCs w:val="20"/>
              </w:rPr>
              <w:t>605</w:t>
            </w:r>
          </w:p>
        </w:tc>
        <w:tc>
          <w:tcPr>
            <w:tcW w:w="1702" w:type="dxa"/>
            <w:tcBorders>
              <w:top w:val="single" w:sz="2" w:space="0" w:color="auto"/>
              <w:bottom w:val="single" w:sz="4" w:space="0" w:color="auto"/>
            </w:tcBorders>
            <w:vAlign w:val="center"/>
          </w:tcPr>
          <w:p w14:paraId="721EF8DE" w14:textId="0E523208" w:rsidR="00C44CFA" w:rsidRPr="006F57C0" w:rsidRDefault="006F6DEE" w:rsidP="006B0DF7">
            <w:pPr>
              <w:jc w:val="right"/>
              <w:rPr>
                <w:rFonts w:ascii="Arial Narrow" w:hAnsi="Arial Narrow" w:cs="Calibri"/>
                <w:color w:val="000000"/>
                <w:sz w:val="20"/>
                <w:szCs w:val="20"/>
              </w:rPr>
            </w:pPr>
            <w:r w:rsidRPr="006F57C0">
              <w:rPr>
                <w:rFonts w:ascii="Arial Narrow" w:hAnsi="Arial Narrow" w:cs="Calibri"/>
                <w:color w:val="000000"/>
                <w:sz w:val="20"/>
                <w:szCs w:val="20"/>
              </w:rPr>
              <w:t>1.442</w:t>
            </w:r>
          </w:p>
        </w:tc>
      </w:tr>
      <w:tr w:rsidR="00C44CFA" w:rsidRPr="00801032" w14:paraId="156A5694" w14:textId="77777777" w:rsidTr="009E43FD">
        <w:trPr>
          <w:trHeight w:val="284"/>
        </w:trPr>
        <w:tc>
          <w:tcPr>
            <w:tcW w:w="2835" w:type="dxa"/>
            <w:shd w:val="clear" w:color="auto" w:fill="9CC2E5" w:themeFill="accent1" w:themeFillTint="99"/>
            <w:noWrap/>
            <w:vAlign w:val="center"/>
            <w:hideMark/>
          </w:tcPr>
          <w:p w14:paraId="4C2795A9" w14:textId="77777777" w:rsidR="00C44CFA" w:rsidRPr="006F57C0" w:rsidRDefault="00C44CFA" w:rsidP="00C44CFA">
            <w:pPr>
              <w:rPr>
                <w:rFonts w:ascii="Arial" w:hAnsi="Arial" w:cs="Arial"/>
                <w:bCs/>
                <w:color w:val="000000"/>
                <w:sz w:val="18"/>
                <w:szCs w:val="18"/>
              </w:rPr>
            </w:pPr>
            <w:r w:rsidRPr="006F57C0">
              <w:rPr>
                <w:rFonts w:ascii="Arial" w:hAnsi="Arial" w:cs="Arial"/>
                <w:bCs/>
                <w:color w:val="000000"/>
                <w:sz w:val="18"/>
                <w:szCs w:val="18"/>
              </w:rPr>
              <w:t>Total general</w:t>
            </w:r>
          </w:p>
        </w:tc>
        <w:tc>
          <w:tcPr>
            <w:tcW w:w="1417" w:type="dxa"/>
            <w:shd w:val="clear" w:color="auto" w:fill="9CC2E5" w:themeFill="accent1" w:themeFillTint="99"/>
            <w:vAlign w:val="center"/>
          </w:tcPr>
          <w:p w14:paraId="330FE600" w14:textId="18067F4C" w:rsidR="00C44CFA" w:rsidRPr="006F57C0" w:rsidRDefault="007B6491" w:rsidP="006B0DF7">
            <w:pPr>
              <w:jc w:val="right"/>
              <w:rPr>
                <w:rFonts w:ascii="Arial" w:hAnsi="Arial" w:cs="Arial"/>
                <w:bCs/>
                <w:color w:val="000000"/>
                <w:sz w:val="18"/>
                <w:szCs w:val="18"/>
              </w:rPr>
            </w:pPr>
            <w:r>
              <w:rPr>
                <w:rFonts w:ascii="Arial" w:hAnsi="Arial" w:cs="Arial"/>
                <w:bCs/>
                <w:color w:val="000000"/>
                <w:sz w:val="18"/>
                <w:szCs w:val="18"/>
              </w:rPr>
              <w:t>4.579</w:t>
            </w:r>
          </w:p>
        </w:tc>
        <w:tc>
          <w:tcPr>
            <w:tcW w:w="1418" w:type="dxa"/>
            <w:tcBorders>
              <w:right w:val="single" w:sz="4" w:space="0" w:color="auto"/>
            </w:tcBorders>
            <w:shd w:val="clear" w:color="auto" w:fill="9CC2E5" w:themeFill="accent1" w:themeFillTint="99"/>
            <w:vAlign w:val="center"/>
          </w:tcPr>
          <w:p w14:paraId="4C2A1AD3" w14:textId="63E0D8BA" w:rsidR="00C44CFA" w:rsidRPr="006F57C0" w:rsidRDefault="007B6491" w:rsidP="006B0DF7">
            <w:pPr>
              <w:jc w:val="right"/>
              <w:rPr>
                <w:rFonts w:ascii="Arial" w:hAnsi="Arial" w:cs="Arial"/>
                <w:bCs/>
                <w:color w:val="000000"/>
                <w:sz w:val="18"/>
                <w:szCs w:val="18"/>
              </w:rPr>
            </w:pPr>
            <w:r>
              <w:rPr>
                <w:rFonts w:ascii="Arial" w:hAnsi="Arial" w:cs="Arial"/>
                <w:bCs/>
                <w:color w:val="000000"/>
                <w:sz w:val="18"/>
                <w:szCs w:val="18"/>
              </w:rPr>
              <w:t>7.366</w:t>
            </w:r>
          </w:p>
        </w:tc>
        <w:tc>
          <w:tcPr>
            <w:tcW w:w="1417" w:type="dxa"/>
            <w:tcBorders>
              <w:left w:val="single" w:sz="4" w:space="0" w:color="auto"/>
            </w:tcBorders>
            <w:shd w:val="clear" w:color="auto" w:fill="9CC2E5" w:themeFill="accent1" w:themeFillTint="99"/>
            <w:vAlign w:val="center"/>
          </w:tcPr>
          <w:p w14:paraId="658D25FC" w14:textId="6D72E7A6" w:rsidR="00C44CFA" w:rsidRPr="006F57C0" w:rsidRDefault="006F6DEE" w:rsidP="006B0DF7">
            <w:pPr>
              <w:jc w:val="right"/>
              <w:rPr>
                <w:rFonts w:ascii="Arial" w:hAnsi="Arial" w:cs="Arial"/>
                <w:bCs/>
                <w:color w:val="000000"/>
                <w:sz w:val="18"/>
                <w:szCs w:val="18"/>
              </w:rPr>
            </w:pPr>
            <w:r w:rsidRPr="006F57C0">
              <w:rPr>
                <w:rFonts w:ascii="Arial" w:hAnsi="Arial" w:cs="Arial"/>
                <w:bCs/>
                <w:color w:val="000000"/>
                <w:sz w:val="18"/>
                <w:szCs w:val="18"/>
              </w:rPr>
              <w:t>6.332</w:t>
            </w:r>
          </w:p>
        </w:tc>
        <w:tc>
          <w:tcPr>
            <w:tcW w:w="1702" w:type="dxa"/>
            <w:shd w:val="clear" w:color="auto" w:fill="9CC2E5" w:themeFill="accent1" w:themeFillTint="99"/>
            <w:vAlign w:val="center"/>
          </w:tcPr>
          <w:p w14:paraId="59D7DA07" w14:textId="78F97670" w:rsidR="00C44CFA" w:rsidRPr="006F6DEE" w:rsidRDefault="006F6DEE" w:rsidP="006B0DF7">
            <w:pPr>
              <w:jc w:val="right"/>
              <w:rPr>
                <w:rFonts w:ascii="Arial" w:hAnsi="Arial" w:cs="Arial"/>
                <w:bCs/>
                <w:color w:val="000000"/>
                <w:sz w:val="18"/>
                <w:szCs w:val="18"/>
              </w:rPr>
            </w:pPr>
            <w:r w:rsidRPr="006F57C0">
              <w:rPr>
                <w:rFonts w:ascii="Arial" w:hAnsi="Arial" w:cs="Arial"/>
                <w:bCs/>
                <w:color w:val="000000"/>
                <w:sz w:val="18"/>
                <w:szCs w:val="18"/>
              </w:rPr>
              <w:t>5.613</w:t>
            </w:r>
          </w:p>
        </w:tc>
      </w:tr>
    </w:tbl>
    <w:p w14:paraId="2A62C4A6" w14:textId="529F843C" w:rsidR="006F6DEE" w:rsidRDefault="006F6DEE" w:rsidP="009E43FD">
      <w:pPr>
        <w:pStyle w:val="texto"/>
        <w:spacing w:before="240" w:after="140"/>
        <w:jc w:val="both"/>
        <w:rPr>
          <w:rFonts w:eastAsia="Calibri"/>
        </w:rPr>
      </w:pPr>
      <w:r w:rsidRPr="006F6DEE">
        <w:rPr>
          <w:rFonts w:eastAsia="Calibri"/>
        </w:rPr>
        <w:t>Si bien hemos constatado que el SSB llevó a cabo un proceso personalizado de inclusión social para la totalidad de estas personas y el SNE prestó el servicio de orientación al 91 por ciento de las mismas,</w:t>
      </w:r>
      <w:r w:rsidR="007B6491">
        <w:rPr>
          <w:rFonts w:eastAsia="Calibri"/>
        </w:rPr>
        <w:t xml:space="preserve"> fueron contratadas el 53 por ciento de las mismas y recibieron formación</w:t>
      </w:r>
      <w:r w:rsidRPr="006F6DEE">
        <w:rPr>
          <w:rFonts w:eastAsia="Calibri"/>
        </w:rPr>
        <w:t xml:space="preserve"> </w:t>
      </w:r>
      <w:r w:rsidR="007B6491">
        <w:rPr>
          <w:rFonts w:eastAsia="Calibri"/>
        </w:rPr>
        <w:t>el 38</w:t>
      </w:r>
      <w:r w:rsidRPr="006F6DEE">
        <w:rPr>
          <w:rFonts w:eastAsia="Calibri"/>
        </w:rPr>
        <w:t xml:space="preserve"> por ciento.</w:t>
      </w:r>
    </w:p>
    <w:p w14:paraId="5D8E07E6" w14:textId="77777777" w:rsidR="00987704" w:rsidRDefault="00987704" w:rsidP="006F6DEE">
      <w:pPr>
        <w:pStyle w:val="texto"/>
        <w:spacing w:before="120" w:after="140"/>
        <w:jc w:val="both"/>
        <w:rPr>
          <w:rFonts w:eastAsia="Calibri"/>
        </w:rPr>
      </w:pPr>
      <w:r>
        <w:rPr>
          <w:rFonts w:eastAsia="Calibri"/>
        </w:rPr>
        <w:t xml:space="preserve">Hemos incluido en nuestro análisis la formación ofertada desde el Departamento de Derechos Sociales, Economía y Empleo y desde el Departamento de Educación, sin incluir en nuestro a alcance la formación </w:t>
      </w:r>
      <w:r>
        <w:rPr>
          <w:rFonts w:eastAsia="Calibri"/>
        </w:rPr>
        <w:lastRenderedPageBreak/>
        <w:t xml:space="preserve">ofertada desde otras administraciones públicas, sin que exista información integrada sobre la formación ofertada a estas personas. </w:t>
      </w:r>
    </w:p>
    <w:p w14:paraId="4887CE7E" w14:textId="5542C581" w:rsidR="00E50EE2" w:rsidRDefault="006F6DEE" w:rsidP="006F6DEE">
      <w:pPr>
        <w:pStyle w:val="texto"/>
        <w:spacing w:before="120" w:after="140"/>
        <w:jc w:val="both"/>
        <w:rPr>
          <w:rFonts w:eastAsia="Calibri"/>
        </w:rPr>
      </w:pPr>
      <w:r>
        <w:rPr>
          <w:rFonts w:eastAsia="Calibri"/>
        </w:rPr>
        <w:t xml:space="preserve">La formación </w:t>
      </w:r>
      <w:r w:rsidR="007B6491">
        <w:rPr>
          <w:rFonts w:eastAsia="Calibri"/>
        </w:rPr>
        <w:t>de estas personas varía</w:t>
      </w:r>
      <w:r>
        <w:rPr>
          <w:rFonts w:eastAsia="Calibri"/>
        </w:rPr>
        <w:t xml:space="preserve"> </w:t>
      </w:r>
      <w:r w:rsidR="00E50EE2">
        <w:rPr>
          <w:rFonts w:eastAsia="Calibri"/>
        </w:rPr>
        <w:t>incluyendo educación secundaria obligatoria, bachillerato, ciclos formativos de grado básico, medio o superior, certificados de profesionalidad, enseñanza de idiomas, talleres, etc.</w:t>
      </w:r>
      <w:r w:rsidR="007B6491">
        <w:rPr>
          <w:rFonts w:eastAsia="Calibri"/>
        </w:rPr>
        <w:t xml:space="preserve"> </w:t>
      </w:r>
    </w:p>
    <w:p w14:paraId="7D9FBC67" w14:textId="5FB9E530" w:rsidR="007B6491" w:rsidRDefault="007B6491" w:rsidP="006F6DEE">
      <w:pPr>
        <w:pStyle w:val="texto"/>
        <w:spacing w:before="120" w:after="140"/>
        <w:jc w:val="both"/>
        <w:rPr>
          <w:rFonts w:eastAsia="Calibri"/>
        </w:rPr>
      </w:pPr>
      <w:r>
        <w:rPr>
          <w:rFonts w:eastAsia="Calibri"/>
        </w:rPr>
        <w:t>No hemos tenido acceso a las ofertas de formación propuestas que han sido rechazadas por estas personas.</w:t>
      </w:r>
    </w:p>
    <w:p w14:paraId="49A1E9AF" w14:textId="38401CAB" w:rsidR="00A4549F" w:rsidRDefault="00E50EE2" w:rsidP="006F6DEE">
      <w:pPr>
        <w:pStyle w:val="texto"/>
        <w:spacing w:before="120" w:after="140"/>
        <w:jc w:val="both"/>
        <w:rPr>
          <w:rFonts w:eastAsia="Calibri"/>
        </w:rPr>
      </w:pPr>
      <w:r>
        <w:rPr>
          <w:rFonts w:eastAsia="Calibri"/>
        </w:rPr>
        <w:t xml:space="preserve">En cuanto </w:t>
      </w:r>
      <w:r w:rsidR="00A4549F">
        <w:rPr>
          <w:rFonts w:eastAsia="Calibri"/>
        </w:rPr>
        <w:t>a las ofertas de empleo</w:t>
      </w:r>
      <w:r>
        <w:rPr>
          <w:rFonts w:eastAsia="Calibri"/>
        </w:rPr>
        <w:t xml:space="preserve">, </w:t>
      </w:r>
      <w:r w:rsidR="00A4549F">
        <w:rPr>
          <w:rFonts w:eastAsia="Calibri"/>
        </w:rPr>
        <w:t xml:space="preserve">como ya hemos citado previamente, el SNE solo nos proporcionó información sobre las ofertas de empleo de entidades locales rechazadas para el periodo 2021-2023 globales, por lo que no podemos saber si alguno de estos rechazos correspondía a las 11.945 personas objeto de análisis. </w:t>
      </w:r>
    </w:p>
    <w:p w14:paraId="272A9ACF" w14:textId="32AC77AC" w:rsidR="006F6DEE" w:rsidRPr="006F6DEE" w:rsidRDefault="00A4549F" w:rsidP="006F6DEE">
      <w:pPr>
        <w:pStyle w:val="texto"/>
        <w:spacing w:before="120" w:after="140"/>
        <w:jc w:val="both"/>
        <w:rPr>
          <w:rFonts w:eastAsia="Calibri"/>
        </w:rPr>
      </w:pPr>
      <w:r>
        <w:rPr>
          <w:rFonts w:eastAsia="Calibri"/>
        </w:rPr>
        <w:t xml:space="preserve">El único dato disponible ha sido el de los contratos realizados a estas personas que en el conjunto del periodo supuso que el 53 por ciento de las mismas tuviera algún contrato, sin que hayamos podido verificar las </w:t>
      </w:r>
      <w:r w:rsidR="00E50EE2">
        <w:rPr>
          <w:rFonts w:eastAsia="Calibri"/>
        </w:rPr>
        <w:t xml:space="preserve">características de </w:t>
      </w:r>
      <w:r>
        <w:rPr>
          <w:rFonts w:eastAsia="Calibri"/>
        </w:rPr>
        <w:t>los mismos</w:t>
      </w:r>
      <w:r w:rsidR="00E50EE2">
        <w:rPr>
          <w:rFonts w:eastAsia="Calibri"/>
        </w:rPr>
        <w:t xml:space="preserve"> en cuanto a duración, salario, etc.  </w:t>
      </w:r>
    </w:p>
    <w:p w14:paraId="037458FF" w14:textId="60120656" w:rsidR="00C44CFA" w:rsidRDefault="006F6DEE" w:rsidP="006F6DEE">
      <w:pPr>
        <w:pStyle w:val="texto"/>
        <w:spacing w:before="120" w:after="140"/>
        <w:jc w:val="both"/>
        <w:rPr>
          <w:rFonts w:eastAsia="Calibri"/>
        </w:rPr>
      </w:pPr>
      <w:r w:rsidRPr="006F6DEE">
        <w:rPr>
          <w:rFonts w:eastAsia="Calibri"/>
        </w:rPr>
        <w:t>Si consideramos el número de</w:t>
      </w:r>
      <w:r w:rsidR="00987704">
        <w:rPr>
          <w:rFonts w:eastAsia="Calibri"/>
        </w:rPr>
        <w:t xml:space="preserve"> personas </w:t>
      </w:r>
      <w:r w:rsidR="007B6491">
        <w:rPr>
          <w:rFonts w:eastAsia="Calibri"/>
        </w:rPr>
        <w:t>que recibieron</w:t>
      </w:r>
      <w:r w:rsidR="00987704">
        <w:rPr>
          <w:rFonts w:eastAsia="Calibri"/>
        </w:rPr>
        <w:t xml:space="preserve"> formación</w:t>
      </w:r>
      <w:r w:rsidR="00A4549F">
        <w:rPr>
          <w:rFonts w:eastAsia="Calibri"/>
        </w:rPr>
        <w:t xml:space="preserve"> y que fueron contratadas</w:t>
      </w:r>
      <w:r w:rsidRPr="006F6DEE">
        <w:rPr>
          <w:rFonts w:eastAsia="Calibri"/>
        </w:rPr>
        <w:t xml:space="preserve">, el porcentaje </w:t>
      </w:r>
      <w:r w:rsidR="00E50EE2">
        <w:rPr>
          <w:rFonts w:eastAsia="Calibri"/>
        </w:rPr>
        <w:t xml:space="preserve">de cumplimiento por parte de las administraciones públicas </w:t>
      </w:r>
      <w:r w:rsidR="00A4549F">
        <w:rPr>
          <w:rFonts w:eastAsia="Calibri"/>
        </w:rPr>
        <w:t>ascendería</w:t>
      </w:r>
      <w:r w:rsidRPr="006F6DEE">
        <w:rPr>
          <w:rFonts w:eastAsia="Calibri"/>
        </w:rPr>
        <w:t xml:space="preserve"> al 67 por ciento.  </w:t>
      </w:r>
    </w:p>
    <w:p w14:paraId="1A3532BC" w14:textId="6EDA59E8" w:rsidR="00B02B15" w:rsidRPr="006F6DEE" w:rsidRDefault="00B02B15" w:rsidP="006F6DEE">
      <w:pPr>
        <w:pStyle w:val="texto"/>
        <w:spacing w:before="120" w:after="140"/>
        <w:jc w:val="both"/>
        <w:rPr>
          <w:rFonts w:eastAsia="Calibri"/>
        </w:rPr>
      </w:pPr>
      <w:r>
        <w:rPr>
          <w:rFonts w:eastAsia="Calibri"/>
        </w:rPr>
        <w:t>Reiteramos, como ya hemos mencionado previamente, que los requisitos establecidos en la normativa para considerar una oferta de empleo adecuada podrían estar condicionando las posibilidades del SNE de ofrecerlas a las personas perceptoras de RG.</w:t>
      </w:r>
    </w:p>
    <w:p w14:paraId="678A420F" w14:textId="1DB56F74" w:rsidR="00987704" w:rsidRDefault="0E04C4A9" w:rsidP="00B02B15">
      <w:pPr>
        <w:pStyle w:val="texto"/>
        <w:spacing w:after="140"/>
        <w:jc w:val="both"/>
        <w:rPr>
          <w:rFonts w:eastAsia="Calibri"/>
        </w:rPr>
      </w:pPr>
      <w:r w:rsidRPr="006F6DEE">
        <w:rPr>
          <w:rFonts w:eastAsia="Calibri"/>
        </w:rPr>
        <w:t xml:space="preserve">Teniendo en cuenta los valores obtenidos, </w:t>
      </w:r>
      <w:r w:rsidR="00A4549F">
        <w:rPr>
          <w:rFonts w:eastAsia="Calibri"/>
        </w:rPr>
        <w:t xml:space="preserve">no podemos </w:t>
      </w:r>
      <w:r w:rsidRPr="006F6DEE">
        <w:rPr>
          <w:rFonts w:eastAsia="Calibri"/>
        </w:rPr>
        <w:t xml:space="preserve">concluir </w:t>
      </w:r>
      <w:r w:rsidR="00A4549F">
        <w:rPr>
          <w:rFonts w:eastAsia="Calibri"/>
        </w:rPr>
        <w:t>si</w:t>
      </w:r>
      <w:r w:rsidRPr="006F6DEE">
        <w:rPr>
          <w:rFonts w:eastAsia="Calibri"/>
        </w:rPr>
        <w:t xml:space="preserve"> </w:t>
      </w:r>
      <w:r w:rsidR="006F6DEE" w:rsidRPr="006F6DEE">
        <w:rPr>
          <w:rFonts w:eastAsia="Calibri"/>
        </w:rPr>
        <w:t xml:space="preserve">la </w:t>
      </w:r>
      <w:r w:rsidR="00E558C5" w:rsidRPr="006F6DEE">
        <w:rPr>
          <w:rFonts w:eastAsia="Calibri"/>
        </w:rPr>
        <w:t>administración pública</w:t>
      </w:r>
      <w:r w:rsidR="44E70699" w:rsidRPr="006F6DEE">
        <w:rPr>
          <w:rFonts w:eastAsia="Calibri"/>
        </w:rPr>
        <w:t xml:space="preserve"> </w:t>
      </w:r>
      <w:r w:rsidR="006F6DEE" w:rsidRPr="006F6DEE">
        <w:rPr>
          <w:rFonts w:eastAsia="Calibri"/>
        </w:rPr>
        <w:t>cumplió en todos los casos con su obligación de ofertar</w:t>
      </w:r>
      <w:r w:rsidR="1EE8F89C" w:rsidRPr="006F6DEE">
        <w:rPr>
          <w:rFonts w:eastAsia="Calibri"/>
        </w:rPr>
        <w:t xml:space="preserve"> una </w:t>
      </w:r>
      <w:r w:rsidR="00E558C5" w:rsidRPr="006F6DEE">
        <w:rPr>
          <w:rFonts w:eastAsia="Calibri"/>
        </w:rPr>
        <w:t xml:space="preserve">opción de empleo </w:t>
      </w:r>
      <w:r w:rsidR="44E70699" w:rsidRPr="006F6DEE">
        <w:rPr>
          <w:rFonts w:eastAsia="Calibri"/>
        </w:rPr>
        <w:t xml:space="preserve">y/o formación a las personas perceptoras </w:t>
      </w:r>
      <w:r w:rsidR="006F6DEE" w:rsidRPr="006F6DEE">
        <w:rPr>
          <w:rFonts w:eastAsia="Calibri"/>
        </w:rPr>
        <w:t xml:space="preserve">de RG </w:t>
      </w:r>
      <w:r w:rsidR="44E70699" w:rsidRPr="006F6DEE">
        <w:rPr>
          <w:rFonts w:eastAsia="Calibri"/>
        </w:rPr>
        <w:t>durante un periodo inin</w:t>
      </w:r>
      <w:r w:rsidR="00A4549F">
        <w:rPr>
          <w:rFonts w:eastAsia="Calibri"/>
        </w:rPr>
        <w:t>terrumpido de al menos 24 meses</w:t>
      </w:r>
      <w:r w:rsidR="00E5335C">
        <w:rPr>
          <w:rFonts w:eastAsia="Calibri"/>
        </w:rPr>
        <w:t>,</w:t>
      </w:r>
      <w:r w:rsidR="00A4549F">
        <w:rPr>
          <w:rFonts w:eastAsia="Calibri"/>
        </w:rPr>
        <w:t xml:space="preserve"> al no disponer de las ofertas de </w:t>
      </w:r>
      <w:r w:rsidR="007B6491">
        <w:rPr>
          <w:rFonts w:eastAsia="Calibri"/>
        </w:rPr>
        <w:t xml:space="preserve">formación y </w:t>
      </w:r>
      <w:r w:rsidR="00A4549F">
        <w:rPr>
          <w:rFonts w:eastAsia="Calibri"/>
        </w:rPr>
        <w:t xml:space="preserve">empleo rechazadas en su caso. </w:t>
      </w:r>
    </w:p>
    <w:p w14:paraId="11C98740" w14:textId="77777777" w:rsidR="002F61E6" w:rsidRPr="00E94F74" w:rsidRDefault="4703813A"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eastAsia="Calibri"/>
          <w:i/>
          <w:iCs/>
        </w:rPr>
      </w:pPr>
      <w:r w:rsidRPr="3896A6D9">
        <w:rPr>
          <w:rFonts w:eastAsia="Calibri"/>
          <w:i/>
          <w:iCs/>
        </w:rPr>
        <w:t>En todos aquellos casos en que, para la tramitación de la solicitud de RG, se precise realizar un co-diagnóstico y programa personalizado de inclusión social, el sistema de seguimiento en él contenido contemplará revisiones de la situación en periodos de al menos seis meses.</w:t>
      </w:r>
    </w:p>
    <w:p w14:paraId="2401463A" w14:textId="6686208D" w:rsidR="00E558C5" w:rsidRDefault="002B4002" w:rsidP="00B02B15">
      <w:pPr>
        <w:pStyle w:val="texto"/>
        <w:spacing w:after="140"/>
        <w:jc w:val="both"/>
        <w:rPr>
          <w:rFonts w:ascii="Arial" w:hAnsi="Arial"/>
          <w:bCs/>
          <w:iCs/>
          <w:color w:val="000000"/>
          <w:spacing w:val="10"/>
          <w:kern w:val="28"/>
          <w:sz w:val="25"/>
          <w:szCs w:val="26"/>
        </w:rPr>
      </w:pPr>
      <w:r w:rsidRPr="3896A6D9">
        <w:rPr>
          <w:rFonts w:eastAsia="Calibri"/>
        </w:rPr>
        <w:t>Si bien</w:t>
      </w:r>
      <w:r w:rsidR="006D7338" w:rsidRPr="3896A6D9">
        <w:rPr>
          <w:rFonts w:eastAsia="Calibri"/>
        </w:rPr>
        <w:t xml:space="preserve"> los SSB</w:t>
      </w:r>
      <w:r w:rsidRPr="3896A6D9">
        <w:rPr>
          <w:rFonts w:eastAsia="Calibri"/>
        </w:rPr>
        <w:t xml:space="preserve"> nos han indicado que</w:t>
      </w:r>
      <w:r w:rsidR="006D7338" w:rsidRPr="3896A6D9">
        <w:rPr>
          <w:rFonts w:eastAsia="Calibri"/>
        </w:rPr>
        <w:t>, en general, realizan</w:t>
      </w:r>
      <w:r w:rsidR="2053B19C" w:rsidRPr="3896A6D9">
        <w:rPr>
          <w:rFonts w:eastAsia="Calibri"/>
        </w:rPr>
        <w:t xml:space="preserve"> un seguimiento de la situación en los términos exigidos en la normativa</w:t>
      </w:r>
      <w:r w:rsidR="3ADC10C4" w:rsidRPr="3896A6D9">
        <w:rPr>
          <w:rFonts w:eastAsia="Calibri"/>
        </w:rPr>
        <w:t>,</w:t>
      </w:r>
      <w:r w:rsidRPr="3896A6D9">
        <w:rPr>
          <w:rFonts w:eastAsia="Calibri"/>
        </w:rPr>
        <w:t xml:space="preserve"> fundamentalmente en las personas disponibles para el empleo, no hemos podido obtener evidencia suficiente y adecuada que nos permita concluir sobre el cumplimiento de esta obligación</w:t>
      </w:r>
      <w:r w:rsidR="2053B19C" w:rsidRPr="3896A6D9">
        <w:rPr>
          <w:rFonts w:eastAsia="Calibri"/>
        </w:rPr>
        <w:t xml:space="preserve">. </w:t>
      </w:r>
    </w:p>
    <w:p w14:paraId="3658E83B" w14:textId="76D35217" w:rsidR="001260E5" w:rsidRDefault="001260E5" w:rsidP="00FF75FE">
      <w:pPr>
        <w:pStyle w:val="atitulo2"/>
        <w:spacing w:before="240"/>
        <w:jc w:val="both"/>
      </w:pPr>
      <w:bookmarkStart w:id="18" w:name="_Toc187821048"/>
      <w:r>
        <w:lastRenderedPageBreak/>
        <w:t xml:space="preserve">2.3 Indicadores de empleo relacionados con la </w:t>
      </w:r>
      <w:r w:rsidR="002929EB">
        <w:t>RG</w:t>
      </w:r>
      <w:bookmarkEnd w:id="18"/>
    </w:p>
    <w:p w14:paraId="55247DBA" w14:textId="396B23B9" w:rsidR="00FE1F21" w:rsidRDefault="62A9032F" w:rsidP="00A215EC">
      <w:pPr>
        <w:pStyle w:val="texto"/>
        <w:spacing w:after="140"/>
        <w:jc w:val="both"/>
      </w:pPr>
      <w:r>
        <w:t xml:space="preserve">Uno de los pilares fundamentales para conseguir la inclusión social es el desarrollo de la </w:t>
      </w:r>
      <w:r w:rsidRPr="3896A6D9">
        <w:t>autonomía</w:t>
      </w:r>
      <w:r>
        <w:t xml:space="preserve"> de las personas y </w:t>
      </w:r>
      <w:r w:rsidR="33AFD921">
        <w:t>la obtención de un empleo</w:t>
      </w:r>
      <w:r>
        <w:t xml:space="preserve">. La petición parlamentaria recibida por la Cámara solicitaba analizar el efecto de la RG sobre el empleo de las personas perceptoras. De la información disponible en el departamento hemos </w:t>
      </w:r>
      <w:r w:rsidR="1842B5A2">
        <w:t>obtenido</w:t>
      </w:r>
      <w:r>
        <w:t xml:space="preserve"> los siguientes indicadores: </w:t>
      </w:r>
    </w:p>
    <w:p w14:paraId="4BD46521" w14:textId="3CC6EF44" w:rsidR="007E1C74" w:rsidRPr="00806E8B" w:rsidRDefault="00FE1F21" w:rsidP="009E43FD">
      <w:pPr>
        <w:pStyle w:val="texto"/>
        <w:numPr>
          <w:ilvl w:val="0"/>
          <w:numId w:val="5"/>
        </w:numPr>
        <w:tabs>
          <w:tab w:val="clear" w:pos="2835"/>
          <w:tab w:val="clear" w:pos="3969"/>
          <w:tab w:val="clear" w:pos="5103"/>
          <w:tab w:val="clear" w:pos="6237"/>
          <w:tab w:val="clear" w:pos="7371"/>
          <w:tab w:val="num" w:pos="300"/>
          <w:tab w:val="left" w:pos="480"/>
          <w:tab w:val="num" w:pos="600"/>
        </w:tabs>
        <w:spacing w:after="240"/>
        <w:ind w:left="0" w:firstLine="289"/>
        <w:jc w:val="both"/>
      </w:pPr>
      <w:r w:rsidRPr="3896A6D9">
        <w:rPr>
          <w:rFonts w:eastAsia="Calibri"/>
        </w:rPr>
        <w:t>P</w:t>
      </w:r>
      <w:r w:rsidR="00806E8B" w:rsidRPr="3896A6D9">
        <w:rPr>
          <w:rFonts w:eastAsia="Calibri"/>
        </w:rPr>
        <w:t>orcentaje</w:t>
      </w:r>
      <w:r w:rsidR="00806E8B">
        <w:t xml:space="preserve"> de p</w:t>
      </w:r>
      <w:r>
        <w:t xml:space="preserve">ersonas </w:t>
      </w:r>
      <w:r w:rsidR="00806E8B">
        <w:t>beneficiarias de RG</w:t>
      </w:r>
      <w:r>
        <w:t xml:space="preserve"> disponibles</w:t>
      </w:r>
      <w:r w:rsidR="00806E8B">
        <w:t xml:space="preserve"> y no disponibles</w:t>
      </w:r>
      <w:r>
        <w:t xml:space="preserve"> para el empleo</w:t>
      </w:r>
      <w:r w:rsidR="005D0D1A">
        <w:t xml:space="preserve"> y su gasto</w:t>
      </w:r>
      <w:r>
        <w:t xml:space="preserve"> </w:t>
      </w:r>
      <w:r w:rsidR="00806E8B">
        <w:t>sobre el total de personas perceptoras</w:t>
      </w:r>
      <w:r w:rsidR="0F294D44">
        <w:t xml:space="preserve"> y su gasto</w:t>
      </w:r>
      <w:r w:rsidR="00806E8B">
        <w:t xml:space="preserve">: </w:t>
      </w:r>
    </w:p>
    <w:tbl>
      <w:tblPr>
        <w:tblW w:w="8790"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569"/>
        <w:gridCol w:w="1036"/>
        <w:gridCol w:w="1037"/>
        <w:gridCol w:w="1037"/>
        <w:gridCol w:w="1037"/>
        <w:gridCol w:w="1037"/>
        <w:gridCol w:w="1037"/>
      </w:tblGrid>
      <w:tr w:rsidR="005D0D1A" w:rsidRPr="00A66CB9" w14:paraId="2898A5CD" w14:textId="02BAF9EE" w:rsidTr="00623FB3">
        <w:trPr>
          <w:trHeight w:val="255"/>
        </w:trPr>
        <w:tc>
          <w:tcPr>
            <w:tcW w:w="2569" w:type="dxa"/>
            <w:vMerge w:val="restart"/>
            <w:shd w:val="clear" w:color="auto" w:fill="9CC2E5" w:themeFill="accent1" w:themeFillTint="99"/>
            <w:noWrap/>
            <w:vAlign w:val="center"/>
          </w:tcPr>
          <w:p w14:paraId="320984D0" w14:textId="2016EBB9" w:rsidR="005D0D1A" w:rsidRPr="00A66CB9" w:rsidRDefault="005D0D1A" w:rsidP="00806E8B">
            <w:pPr>
              <w:rPr>
                <w:rFonts w:ascii="Arial" w:hAnsi="Arial" w:cs="Arial"/>
                <w:bCs/>
                <w:color w:val="000000"/>
                <w:sz w:val="18"/>
                <w:szCs w:val="18"/>
              </w:rPr>
            </w:pPr>
          </w:p>
        </w:tc>
        <w:tc>
          <w:tcPr>
            <w:tcW w:w="2073" w:type="dxa"/>
            <w:gridSpan w:val="2"/>
            <w:tcBorders>
              <w:right w:val="single" w:sz="2" w:space="0" w:color="auto"/>
            </w:tcBorders>
            <w:shd w:val="clear" w:color="auto" w:fill="9CC2E5" w:themeFill="accent1" w:themeFillTint="99"/>
            <w:noWrap/>
            <w:vAlign w:val="center"/>
            <w:hideMark/>
          </w:tcPr>
          <w:p w14:paraId="5BF4FCFB" w14:textId="34FEF5F0" w:rsidR="005D0D1A" w:rsidRPr="00A66CB9" w:rsidRDefault="005D0D1A" w:rsidP="005D0D1A">
            <w:pPr>
              <w:jc w:val="center"/>
              <w:rPr>
                <w:rFonts w:ascii="Arial" w:hAnsi="Arial" w:cs="Arial"/>
                <w:bCs/>
                <w:color w:val="000000"/>
                <w:sz w:val="18"/>
                <w:szCs w:val="18"/>
              </w:rPr>
            </w:pPr>
            <w:r w:rsidRPr="00A66CB9">
              <w:rPr>
                <w:rFonts w:ascii="Arial" w:hAnsi="Arial" w:cs="Arial"/>
                <w:bCs/>
                <w:color w:val="000000"/>
                <w:sz w:val="18"/>
                <w:szCs w:val="18"/>
              </w:rPr>
              <w:t>2021</w:t>
            </w:r>
          </w:p>
        </w:tc>
        <w:tc>
          <w:tcPr>
            <w:tcW w:w="2074" w:type="dxa"/>
            <w:gridSpan w:val="2"/>
            <w:tcBorders>
              <w:left w:val="single" w:sz="2" w:space="0" w:color="auto"/>
              <w:right w:val="single" w:sz="2" w:space="0" w:color="auto"/>
            </w:tcBorders>
            <w:shd w:val="clear" w:color="auto" w:fill="9CC2E5" w:themeFill="accent1" w:themeFillTint="99"/>
            <w:noWrap/>
            <w:vAlign w:val="center"/>
            <w:hideMark/>
          </w:tcPr>
          <w:p w14:paraId="2AF47834" w14:textId="3C1B5B15" w:rsidR="005D0D1A" w:rsidRPr="00A66CB9" w:rsidRDefault="005D0D1A" w:rsidP="005D0D1A">
            <w:pPr>
              <w:jc w:val="center"/>
              <w:rPr>
                <w:rFonts w:ascii="Arial" w:hAnsi="Arial" w:cs="Arial"/>
                <w:bCs/>
                <w:color w:val="000000"/>
                <w:sz w:val="18"/>
                <w:szCs w:val="18"/>
              </w:rPr>
            </w:pPr>
            <w:r w:rsidRPr="00A66CB9">
              <w:rPr>
                <w:rFonts w:ascii="Arial" w:hAnsi="Arial" w:cs="Arial"/>
                <w:bCs/>
                <w:color w:val="000000"/>
                <w:sz w:val="18"/>
                <w:szCs w:val="18"/>
              </w:rPr>
              <w:t>2022</w:t>
            </w:r>
          </w:p>
        </w:tc>
        <w:tc>
          <w:tcPr>
            <w:tcW w:w="2074" w:type="dxa"/>
            <w:gridSpan w:val="2"/>
            <w:tcBorders>
              <w:left w:val="single" w:sz="2" w:space="0" w:color="auto"/>
            </w:tcBorders>
            <w:shd w:val="clear" w:color="auto" w:fill="9CC2E5" w:themeFill="accent1" w:themeFillTint="99"/>
            <w:noWrap/>
            <w:vAlign w:val="center"/>
            <w:hideMark/>
          </w:tcPr>
          <w:p w14:paraId="5A12C2C0" w14:textId="0F72F12B" w:rsidR="005D0D1A" w:rsidRPr="00A66CB9" w:rsidRDefault="005D0D1A" w:rsidP="005D0D1A">
            <w:pPr>
              <w:jc w:val="center"/>
              <w:rPr>
                <w:rFonts w:ascii="Arial" w:hAnsi="Arial" w:cs="Arial"/>
                <w:bCs/>
                <w:color w:val="000000"/>
                <w:sz w:val="18"/>
                <w:szCs w:val="18"/>
              </w:rPr>
            </w:pPr>
            <w:r w:rsidRPr="00A66CB9">
              <w:rPr>
                <w:rFonts w:ascii="Arial" w:hAnsi="Arial" w:cs="Arial"/>
                <w:bCs/>
                <w:color w:val="000000"/>
                <w:sz w:val="18"/>
                <w:szCs w:val="18"/>
              </w:rPr>
              <w:t>2023</w:t>
            </w:r>
          </w:p>
        </w:tc>
      </w:tr>
      <w:tr w:rsidR="005D0D1A" w:rsidRPr="00A66CB9" w14:paraId="45DD1527" w14:textId="77777777" w:rsidTr="00623FB3">
        <w:trPr>
          <w:trHeight w:val="255"/>
        </w:trPr>
        <w:tc>
          <w:tcPr>
            <w:tcW w:w="2569" w:type="dxa"/>
            <w:vMerge/>
            <w:tcBorders>
              <w:bottom w:val="single" w:sz="4" w:space="0" w:color="auto"/>
            </w:tcBorders>
            <w:shd w:val="clear" w:color="auto" w:fill="auto"/>
            <w:noWrap/>
            <w:vAlign w:val="center"/>
          </w:tcPr>
          <w:p w14:paraId="79857F07" w14:textId="77777777" w:rsidR="005D0D1A" w:rsidRPr="00A66CB9" w:rsidRDefault="005D0D1A" w:rsidP="005D0D1A">
            <w:pPr>
              <w:rPr>
                <w:rFonts w:ascii="Arial Narrow" w:hAnsi="Arial Narrow" w:cs="Calibri"/>
                <w:color w:val="000000"/>
                <w:sz w:val="20"/>
                <w:szCs w:val="20"/>
              </w:rPr>
            </w:pPr>
          </w:p>
        </w:tc>
        <w:tc>
          <w:tcPr>
            <w:tcW w:w="1036" w:type="dxa"/>
            <w:tcBorders>
              <w:bottom w:val="single" w:sz="4" w:space="0" w:color="auto"/>
            </w:tcBorders>
            <w:shd w:val="clear" w:color="auto" w:fill="9CC2E5" w:themeFill="accent1" w:themeFillTint="99"/>
            <w:noWrap/>
            <w:vAlign w:val="center"/>
          </w:tcPr>
          <w:p w14:paraId="11673179" w14:textId="5CF338E5"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 personas</w:t>
            </w:r>
          </w:p>
        </w:tc>
        <w:tc>
          <w:tcPr>
            <w:tcW w:w="1037" w:type="dxa"/>
            <w:tcBorders>
              <w:bottom w:val="single" w:sz="4" w:space="0" w:color="auto"/>
              <w:right w:val="single" w:sz="2" w:space="0" w:color="auto"/>
            </w:tcBorders>
            <w:shd w:val="clear" w:color="auto" w:fill="9CC2E5" w:themeFill="accent1" w:themeFillTint="99"/>
            <w:vAlign w:val="center"/>
          </w:tcPr>
          <w:p w14:paraId="3EE1A13C" w14:textId="36D2DCB9"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 gasto</w:t>
            </w:r>
          </w:p>
        </w:tc>
        <w:tc>
          <w:tcPr>
            <w:tcW w:w="1037" w:type="dxa"/>
            <w:tcBorders>
              <w:left w:val="single" w:sz="2" w:space="0" w:color="auto"/>
              <w:bottom w:val="single" w:sz="4" w:space="0" w:color="auto"/>
            </w:tcBorders>
            <w:shd w:val="clear" w:color="auto" w:fill="9CC2E5" w:themeFill="accent1" w:themeFillTint="99"/>
            <w:noWrap/>
            <w:vAlign w:val="center"/>
          </w:tcPr>
          <w:p w14:paraId="70F35010" w14:textId="39DFFFB4"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 personas</w:t>
            </w:r>
          </w:p>
        </w:tc>
        <w:tc>
          <w:tcPr>
            <w:tcW w:w="1037" w:type="dxa"/>
            <w:tcBorders>
              <w:bottom w:val="single" w:sz="4" w:space="0" w:color="auto"/>
              <w:right w:val="single" w:sz="2" w:space="0" w:color="auto"/>
            </w:tcBorders>
            <w:shd w:val="clear" w:color="auto" w:fill="9CC2E5" w:themeFill="accent1" w:themeFillTint="99"/>
            <w:vAlign w:val="center"/>
          </w:tcPr>
          <w:p w14:paraId="41536AC7" w14:textId="616172B5"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 gasto</w:t>
            </w:r>
          </w:p>
        </w:tc>
        <w:tc>
          <w:tcPr>
            <w:tcW w:w="1037" w:type="dxa"/>
            <w:tcBorders>
              <w:left w:val="single" w:sz="2" w:space="0" w:color="auto"/>
              <w:bottom w:val="single" w:sz="4" w:space="0" w:color="auto"/>
            </w:tcBorders>
            <w:shd w:val="clear" w:color="auto" w:fill="9CC2E5" w:themeFill="accent1" w:themeFillTint="99"/>
            <w:noWrap/>
            <w:vAlign w:val="center"/>
          </w:tcPr>
          <w:p w14:paraId="38341C99" w14:textId="7AB97645"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 personas</w:t>
            </w:r>
          </w:p>
        </w:tc>
        <w:tc>
          <w:tcPr>
            <w:tcW w:w="1037" w:type="dxa"/>
            <w:tcBorders>
              <w:bottom w:val="single" w:sz="4" w:space="0" w:color="auto"/>
            </w:tcBorders>
            <w:shd w:val="clear" w:color="auto" w:fill="9CC2E5" w:themeFill="accent1" w:themeFillTint="99"/>
            <w:vAlign w:val="center"/>
          </w:tcPr>
          <w:p w14:paraId="4239FE49" w14:textId="37FB3079"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 gasto</w:t>
            </w:r>
          </w:p>
        </w:tc>
      </w:tr>
      <w:tr w:rsidR="005D0D1A" w:rsidRPr="00A66CB9" w14:paraId="1A6B0C30" w14:textId="1CC62ECC" w:rsidTr="00C94056">
        <w:trPr>
          <w:trHeight w:val="198"/>
        </w:trPr>
        <w:tc>
          <w:tcPr>
            <w:tcW w:w="2569" w:type="dxa"/>
            <w:tcBorders>
              <w:bottom w:val="single" w:sz="2" w:space="0" w:color="auto"/>
            </w:tcBorders>
            <w:shd w:val="clear" w:color="auto" w:fill="auto"/>
            <w:noWrap/>
            <w:vAlign w:val="center"/>
            <w:hideMark/>
          </w:tcPr>
          <w:p w14:paraId="2EFEC066" w14:textId="77777777" w:rsidR="005D0D1A" w:rsidRPr="00A66CB9" w:rsidRDefault="005D0D1A" w:rsidP="005D0D1A">
            <w:pPr>
              <w:rPr>
                <w:rFonts w:ascii="Arial Narrow" w:hAnsi="Arial Narrow" w:cs="Calibri"/>
                <w:color w:val="000000"/>
                <w:sz w:val="20"/>
                <w:szCs w:val="20"/>
              </w:rPr>
            </w:pPr>
            <w:r w:rsidRPr="00A66CB9">
              <w:rPr>
                <w:rFonts w:ascii="Arial Narrow" w:hAnsi="Arial Narrow" w:cs="Calibri"/>
                <w:color w:val="000000"/>
                <w:sz w:val="20"/>
                <w:szCs w:val="20"/>
              </w:rPr>
              <w:t>Disponible para el empleo</w:t>
            </w:r>
          </w:p>
        </w:tc>
        <w:tc>
          <w:tcPr>
            <w:tcW w:w="1036" w:type="dxa"/>
            <w:tcBorders>
              <w:bottom w:val="single" w:sz="2" w:space="0" w:color="auto"/>
            </w:tcBorders>
            <w:shd w:val="clear" w:color="auto" w:fill="auto"/>
            <w:noWrap/>
            <w:vAlign w:val="center"/>
            <w:hideMark/>
          </w:tcPr>
          <w:p w14:paraId="6FDF81A3" w14:textId="77777777"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46</w:t>
            </w:r>
          </w:p>
        </w:tc>
        <w:tc>
          <w:tcPr>
            <w:tcW w:w="1037" w:type="dxa"/>
            <w:tcBorders>
              <w:bottom w:val="single" w:sz="2" w:space="0" w:color="auto"/>
              <w:right w:val="single" w:sz="2" w:space="0" w:color="auto"/>
            </w:tcBorders>
            <w:vAlign w:val="center"/>
          </w:tcPr>
          <w:p w14:paraId="143B57C3" w14:textId="09DA82EA"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49</w:t>
            </w:r>
          </w:p>
        </w:tc>
        <w:tc>
          <w:tcPr>
            <w:tcW w:w="1037" w:type="dxa"/>
            <w:tcBorders>
              <w:left w:val="single" w:sz="2" w:space="0" w:color="auto"/>
              <w:bottom w:val="single" w:sz="2" w:space="0" w:color="auto"/>
            </w:tcBorders>
            <w:shd w:val="clear" w:color="auto" w:fill="auto"/>
            <w:noWrap/>
            <w:vAlign w:val="center"/>
            <w:hideMark/>
          </w:tcPr>
          <w:p w14:paraId="7DED4AF3" w14:textId="609A22F1"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45</w:t>
            </w:r>
          </w:p>
        </w:tc>
        <w:tc>
          <w:tcPr>
            <w:tcW w:w="1037" w:type="dxa"/>
            <w:tcBorders>
              <w:bottom w:val="single" w:sz="2" w:space="0" w:color="auto"/>
              <w:right w:val="single" w:sz="2" w:space="0" w:color="auto"/>
            </w:tcBorders>
            <w:vAlign w:val="center"/>
          </w:tcPr>
          <w:p w14:paraId="404E4652" w14:textId="62D94D76"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47</w:t>
            </w:r>
          </w:p>
        </w:tc>
        <w:tc>
          <w:tcPr>
            <w:tcW w:w="1037" w:type="dxa"/>
            <w:tcBorders>
              <w:left w:val="single" w:sz="2" w:space="0" w:color="auto"/>
              <w:bottom w:val="single" w:sz="2" w:space="0" w:color="auto"/>
            </w:tcBorders>
            <w:shd w:val="clear" w:color="auto" w:fill="auto"/>
            <w:noWrap/>
            <w:vAlign w:val="center"/>
            <w:hideMark/>
          </w:tcPr>
          <w:p w14:paraId="64397A95" w14:textId="7FB43B27"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44</w:t>
            </w:r>
          </w:p>
        </w:tc>
        <w:tc>
          <w:tcPr>
            <w:tcW w:w="1037" w:type="dxa"/>
            <w:tcBorders>
              <w:bottom w:val="single" w:sz="2" w:space="0" w:color="auto"/>
            </w:tcBorders>
            <w:vAlign w:val="center"/>
          </w:tcPr>
          <w:p w14:paraId="79FE19EE" w14:textId="7CE9C44E"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47</w:t>
            </w:r>
          </w:p>
        </w:tc>
      </w:tr>
      <w:tr w:rsidR="005D0D1A" w:rsidRPr="00A66CB9" w14:paraId="20249DD8" w14:textId="2435A6CA" w:rsidTr="00623FB3">
        <w:trPr>
          <w:trHeight w:val="198"/>
        </w:trPr>
        <w:tc>
          <w:tcPr>
            <w:tcW w:w="2569" w:type="dxa"/>
            <w:tcBorders>
              <w:top w:val="single" w:sz="2" w:space="0" w:color="auto"/>
              <w:bottom w:val="nil"/>
            </w:tcBorders>
            <w:shd w:val="clear" w:color="auto" w:fill="auto"/>
            <w:noWrap/>
            <w:vAlign w:val="center"/>
            <w:hideMark/>
          </w:tcPr>
          <w:p w14:paraId="3FFFB288" w14:textId="77777777" w:rsidR="005D0D1A" w:rsidRPr="00A66CB9" w:rsidRDefault="005D0D1A" w:rsidP="005D0D1A">
            <w:pPr>
              <w:rPr>
                <w:rFonts w:ascii="Arial Narrow" w:hAnsi="Arial Narrow" w:cs="Calibri"/>
                <w:color w:val="000000"/>
                <w:sz w:val="20"/>
                <w:szCs w:val="20"/>
              </w:rPr>
            </w:pPr>
            <w:r w:rsidRPr="00A66CB9">
              <w:rPr>
                <w:rFonts w:ascii="Arial Narrow" w:hAnsi="Arial Narrow" w:cs="Calibri"/>
                <w:color w:val="000000"/>
                <w:sz w:val="20"/>
                <w:szCs w:val="20"/>
              </w:rPr>
              <w:t>No disponible para el empleo</w:t>
            </w:r>
            <w:r>
              <w:rPr>
                <w:rFonts w:ascii="Arial Narrow" w:hAnsi="Arial Narrow" w:cs="Calibri"/>
                <w:color w:val="000000"/>
                <w:sz w:val="20"/>
                <w:szCs w:val="20"/>
              </w:rPr>
              <w:t>:</w:t>
            </w:r>
          </w:p>
        </w:tc>
        <w:tc>
          <w:tcPr>
            <w:tcW w:w="1036" w:type="dxa"/>
            <w:tcBorders>
              <w:top w:val="single" w:sz="2" w:space="0" w:color="auto"/>
              <w:bottom w:val="nil"/>
            </w:tcBorders>
            <w:shd w:val="clear" w:color="auto" w:fill="auto"/>
            <w:noWrap/>
            <w:vAlign w:val="center"/>
            <w:hideMark/>
          </w:tcPr>
          <w:p w14:paraId="0868EBB2" w14:textId="77777777"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54</w:t>
            </w:r>
          </w:p>
        </w:tc>
        <w:tc>
          <w:tcPr>
            <w:tcW w:w="1037" w:type="dxa"/>
            <w:tcBorders>
              <w:top w:val="single" w:sz="2" w:space="0" w:color="auto"/>
              <w:bottom w:val="nil"/>
              <w:right w:val="single" w:sz="2" w:space="0" w:color="auto"/>
            </w:tcBorders>
            <w:vAlign w:val="center"/>
          </w:tcPr>
          <w:p w14:paraId="4E7B7118" w14:textId="1EDD0E39"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51</w:t>
            </w:r>
          </w:p>
        </w:tc>
        <w:tc>
          <w:tcPr>
            <w:tcW w:w="1037" w:type="dxa"/>
            <w:tcBorders>
              <w:top w:val="single" w:sz="2" w:space="0" w:color="auto"/>
              <w:left w:val="single" w:sz="2" w:space="0" w:color="auto"/>
              <w:bottom w:val="nil"/>
            </w:tcBorders>
            <w:shd w:val="clear" w:color="auto" w:fill="auto"/>
            <w:noWrap/>
            <w:vAlign w:val="center"/>
            <w:hideMark/>
          </w:tcPr>
          <w:p w14:paraId="658417D4" w14:textId="43A29002"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55</w:t>
            </w:r>
          </w:p>
        </w:tc>
        <w:tc>
          <w:tcPr>
            <w:tcW w:w="1037" w:type="dxa"/>
            <w:tcBorders>
              <w:top w:val="single" w:sz="2" w:space="0" w:color="auto"/>
              <w:bottom w:val="nil"/>
              <w:right w:val="single" w:sz="2" w:space="0" w:color="auto"/>
            </w:tcBorders>
            <w:vAlign w:val="center"/>
          </w:tcPr>
          <w:p w14:paraId="3105CEDE" w14:textId="457D87DA"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53</w:t>
            </w:r>
          </w:p>
        </w:tc>
        <w:tc>
          <w:tcPr>
            <w:tcW w:w="1037" w:type="dxa"/>
            <w:tcBorders>
              <w:top w:val="single" w:sz="2" w:space="0" w:color="auto"/>
              <w:left w:val="single" w:sz="2" w:space="0" w:color="auto"/>
              <w:bottom w:val="nil"/>
            </w:tcBorders>
            <w:shd w:val="clear" w:color="auto" w:fill="auto"/>
            <w:noWrap/>
            <w:vAlign w:val="center"/>
            <w:hideMark/>
          </w:tcPr>
          <w:p w14:paraId="6F8A58DE" w14:textId="15EC9B12"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56</w:t>
            </w:r>
          </w:p>
        </w:tc>
        <w:tc>
          <w:tcPr>
            <w:tcW w:w="1037" w:type="dxa"/>
            <w:tcBorders>
              <w:top w:val="single" w:sz="2" w:space="0" w:color="auto"/>
              <w:bottom w:val="nil"/>
            </w:tcBorders>
            <w:vAlign w:val="center"/>
          </w:tcPr>
          <w:p w14:paraId="394C5971" w14:textId="2F1CE750" w:rsidR="005D0D1A" w:rsidRDefault="005D0D1A" w:rsidP="005D0D1A">
            <w:pPr>
              <w:jc w:val="right"/>
              <w:rPr>
                <w:rFonts w:ascii="Arial Narrow" w:hAnsi="Arial Narrow" w:cs="Calibri"/>
                <w:color w:val="000000"/>
                <w:sz w:val="20"/>
                <w:szCs w:val="20"/>
              </w:rPr>
            </w:pPr>
            <w:r>
              <w:rPr>
                <w:rFonts w:ascii="Arial Narrow" w:hAnsi="Arial Narrow" w:cs="Calibri"/>
                <w:color w:val="000000"/>
                <w:sz w:val="20"/>
                <w:szCs w:val="20"/>
              </w:rPr>
              <w:t>53</w:t>
            </w:r>
          </w:p>
        </w:tc>
      </w:tr>
      <w:tr w:rsidR="005D0D1A" w:rsidRPr="00A66CB9" w14:paraId="6C8CB952" w14:textId="41101785" w:rsidTr="00623FB3">
        <w:trPr>
          <w:trHeight w:val="198"/>
        </w:trPr>
        <w:tc>
          <w:tcPr>
            <w:tcW w:w="2569" w:type="dxa"/>
            <w:tcBorders>
              <w:top w:val="nil"/>
              <w:bottom w:val="nil"/>
            </w:tcBorders>
            <w:shd w:val="clear" w:color="auto" w:fill="auto"/>
            <w:noWrap/>
            <w:vAlign w:val="center"/>
            <w:hideMark/>
          </w:tcPr>
          <w:p w14:paraId="0F1AA921" w14:textId="4FD95409" w:rsidR="005D0D1A" w:rsidRPr="00623FB3" w:rsidRDefault="005D0D1A" w:rsidP="0087076C">
            <w:pPr>
              <w:ind w:firstLine="209"/>
              <w:rPr>
                <w:rFonts w:ascii="Arial Narrow" w:hAnsi="Arial Narrow" w:cs="Calibri"/>
                <w:i/>
                <w:color w:val="000000"/>
                <w:sz w:val="18"/>
                <w:szCs w:val="18"/>
              </w:rPr>
            </w:pPr>
            <w:r w:rsidRPr="00623FB3">
              <w:rPr>
                <w:rFonts w:ascii="Arial Narrow" w:hAnsi="Arial Narrow" w:cs="Calibri"/>
                <w:i/>
                <w:color w:val="000000"/>
                <w:sz w:val="18"/>
                <w:szCs w:val="18"/>
              </w:rPr>
              <w:t>Menores 18 años</w:t>
            </w:r>
          </w:p>
        </w:tc>
        <w:tc>
          <w:tcPr>
            <w:tcW w:w="1036" w:type="dxa"/>
            <w:tcBorders>
              <w:top w:val="nil"/>
              <w:bottom w:val="nil"/>
            </w:tcBorders>
            <w:shd w:val="clear" w:color="auto" w:fill="auto"/>
            <w:noWrap/>
            <w:vAlign w:val="center"/>
            <w:hideMark/>
          </w:tcPr>
          <w:p w14:paraId="0AFA8DA4" w14:textId="77777777"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38</w:t>
            </w:r>
          </w:p>
        </w:tc>
        <w:tc>
          <w:tcPr>
            <w:tcW w:w="1037" w:type="dxa"/>
            <w:tcBorders>
              <w:top w:val="nil"/>
              <w:bottom w:val="nil"/>
              <w:right w:val="single" w:sz="2" w:space="0" w:color="auto"/>
            </w:tcBorders>
            <w:vAlign w:val="center"/>
          </w:tcPr>
          <w:p w14:paraId="74687FB3" w14:textId="21775190"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29</w:t>
            </w:r>
          </w:p>
        </w:tc>
        <w:tc>
          <w:tcPr>
            <w:tcW w:w="1037" w:type="dxa"/>
            <w:tcBorders>
              <w:top w:val="nil"/>
              <w:left w:val="single" w:sz="2" w:space="0" w:color="auto"/>
              <w:bottom w:val="nil"/>
            </w:tcBorders>
            <w:shd w:val="clear" w:color="auto" w:fill="auto"/>
            <w:noWrap/>
            <w:vAlign w:val="center"/>
            <w:hideMark/>
          </w:tcPr>
          <w:p w14:paraId="1464052B" w14:textId="70AE93C9"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38</w:t>
            </w:r>
          </w:p>
        </w:tc>
        <w:tc>
          <w:tcPr>
            <w:tcW w:w="1037" w:type="dxa"/>
            <w:tcBorders>
              <w:top w:val="nil"/>
              <w:bottom w:val="nil"/>
              <w:right w:val="single" w:sz="2" w:space="0" w:color="auto"/>
            </w:tcBorders>
            <w:vAlign w:val="center"/>
          </w:tcPr>
          <w:p w14:paraId="48D4554B" w14:textId="7BD183D1"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29</w:t>
            </w:r>
          </w:p>
        </w:tc>
        <w:tc>
          <w:tcPr>
            <w:tcW w:w="1037" w:type="dxa"/>
            <w:tcBorders>
              <w:top w:val="nil"/>
              <w:left w:val="single" w:sz="2" w:space="0" w:color="auto"/>
              <w:bottom w:val="nil"/>
            </w:tcBorders>
            <w:shd w:val="clear" w:color="auto" w:fill="auto"/>
            <w:noWrap/>
            <w:vAlign w:val="center"/>
            <w:hideMark/>
          </w:tcPr>
          <w:p w14:paraId="61060DE1" w14:textId="46DDDF82"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38</w:t>
            </w:r>
          </w:p>
        </w:tc>
        <w:tc>
          <w:tcPr>
            <w:tcW w:w="1037" w:type="dxa"/>
            <w:tcBorders>
              <w:top w:val="nil"/>
              <w:bottom w:val="nil"/>
            </w:tcBorders>
            <w:vAlign w:val="center"/>
          </w:tcPr>
          <w:p w14:paraId="2163307F" w14:textId="02E2AF06"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29</w:t>
            </w:r>
          </w:p>
        </w:tc>
      </w:tr>
      <w:tr w:rsidR="005D0D1A" w:rsidRPr="00A66CB9" w14:paraId="015FAD84" w14:textId="7548302E" w:rsidTr="00623FB3">
        <w:trPr>
          <w:trHeight w:val="198"/>
        </w:trPr>
        <w:tc>
          <w:tcPr>
            <w:tcW w:w="2569" w:type="dxa"/>
            <w:tcBorders>
              <w:top w:val="nil"/>
              <w:bottom w:val="nil"/>
            </w:tcBorders>
            <w:shd w:val="clear" w:color="auto" w:fill="auto"/>
            <w:noWrap/>
            <w:vAlign w:val="center"/>
            <w:hideMark/>
          </w:tcPr>
          <w:p w14:paraId="70A82FB0" w14:textId="77777777" w:rsidR="005D0D1A" w:rsidRPr="00623FB3" w:rsidRDefault="005D0D1A" w:rsidP="0087076C">
            <w:pPr>
              <w:ind w:firstLine="209"/>
              <w:rPr>
                <w:rFonts w:ascii="Arial Narrow" w:hAnsi="Arial Narrow" w:cs="Calibri"/>
                <w:i/>
                <w:color w:val="000000"/>
                <w:sz w:val="18"/>
                <w:szCs w:val="18"/>
              </w:rPr>
            </w:pPr>
            <w:r w:rsidRPr="00623FB3">
              <w:rPr>
                <w:rFonts w:ascii="Arial Narrow" w:hAnsi="Arial Narrow" w:cs="Calibri"/>
                <w:i/>
                <w:color w:val="000000"/>
                <w:sz w:val="18"/>
                <w:szCs w:val="18"/>
              </w:rPr>
              <w:t>Situación administrativa irregular</w:t>
            </w:r>
          </w:p>
        </w:tc>
        <w:tc>
          <w:tcPr>
            <w:tcW w:w="1036" w:type="dxa"/>
            <w:tcBorders>
              <w:top w:val="nil"/>
              <w:bottom w:val="nil"/>
            </w:tcBorders>
            <w:shd w:val="clear" w:color="auto" w:fill="auto"/>
            <w:noWrap/>
            <w:vAlign w:val="center"/>
            <w:hideMark/>
          </w:tcPr>
          <w:p w14:paraId="6F74D8FD" w14:textId="77777777"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7</w:t>
            </w:r>
          </w:p>
        </w:tc>
        <w:tc>
          <w:tcPr>
            <w:tcW w:w="1037" w:type="dxa"/>
            <w:tcBorders>
              <w:top w:val="nil"/>
              <w:bottom w:val="nil"/>
              <w:right w:val="single" w:sz="2" w:space="0" w:color="auto"/>
            </w:tcBorders>
            <w:vAlign w:val="center"/>
          </w:tcPr>
          <w:p w14:paraId="2E970837" w14:textId="7980C545"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11</w:t>
            </w:r>
          </w:p>
        </w:tc>
        <w:tc>
          <w:tcPr>
            <w:tcW w:w="1037" w:type="dxa"/>
            <w:tcBorders>
              <w:top w:val="nil"/>
              <w:left w:val="single" w:sz="2" w:space="0" w:color="auto"/>
              <w:bottom w:val="nil"/>
            </w:tcBorders>
            <w:shd w:val="clear" w:color="auto" w:fill="auto"/>
            <w:noWrap/>
            <w:vAlign w:val="center"/>
            <w:hideMark/>
          </w:tcPr>
          <w:p w14:paraId="4CE4F91D" w14:textId="67F7F5A1"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8</w:t>
            </w:r>
          </w:p>
        </w:tc>
        <w:tc>
          <w:tcPr>
            <w:tcW w:w="1037" w:type="dxa"/>
            <w:tcBorders>
              <w:top w:val="nil"/>
              <w:bottom w:val="nil"/>
              <w:right w:val="single" w:sz="2" w:space="0" w:color="auto"/>
            </w:tcBorders>
            <w:vAlign w:val="center"/>
          </w:tcPr>
          <w:p w14:paraId="6313F144" w14:textId="2FBAF006"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15</w:t>
            </w:r>
          </w:p>
        </w:tc>
        <w:tc>
          <w:tcPr>
            <w:tcW w:w="1037" w:type="dxa"/>
            <w:tcBorders>
              <w:top w:val="nil"/>
              <w:left w:val="single" w:sz="2" w:space="0" w:color="auto"/>
              <w:bottom w:val="nil"/>
            </w:tcBorders>
            <w:shd w:val="clear" w:color="auto" w:fill="auto"/>
            <w:noWrap/>
            <w:vAlign w:val="center"/>
            <w:hideMark/>
          </w:tcPr>
          <w:p w14:paraId="089009E4" w14:textId="14D8FAA3"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9</w:t>
            </w:r>
          </w:p>
        </w:tc>
        <w:tc>
          <w:tcPr>
            <w:tcW w:w="1037" w:type="dxa"/>
            <w:tcBorders>
              <w:top w:val="nil"/>
              <w:bottom w:val="nil"/>
            </w:tcBorders>
            <w:vAlign w:val="center"/>
          </w:tcPr>
          <w:p w14:paraId="6D6D4FD1" w14:textId="4D612D2E"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14</w:t>
            </w:r>
          </w:p>
        </w:tc>
      </w:tr>
      <w:tr w:rsidR="005D0D1A" w:rsidRPr="00A66CB9" w14:paraId="511752BF" w14:textId="159BEF8D" w:rsidTr="00623FB3">
        <w:trPr>
          <w:trHeight w:val="198"/>
        </w:trPr>
        <w:tc>
          <w:tcPr>
            <w:tcW w:w="2569" w:type="dxa"/>
            <w:tcBorders>
              <w:top w:val="nil"/>
              <w:bottom w:val="nil"/>
            </w:tcBorders>
            <w:shd w:val="clear" w:color="auto" w:fill="auto"/>
            <w:noWrap/>
            <w:vAlign w:val="center"/>
            <w:hideMark/>
          </w:tcPr>
          <w:p w14:paraId="264CE233" w14:textId="3922C392" w:rsidR="005D0D1A" w:rsidRPr="00623FB3" w:rsidRDefault="005D0D1A" w:rsidP="0087076C">
            <w:pPr>
              <w:ind w:firstLine="209"/>
              <w:rPr>
                <w:rFonts w:ascii="Arial Narrow" w:hAnsi="Arial Narrow" w:cs="Calibri"/>
                <w:i/>
                <w:color w:val="000000"/>
                <w:sz w:val="18"/>
                <w:szCs w:val="18"/>
              </w:rPr>
            </w:pPr>
            <w:r w:rsidRPr="00623FB3">
              <w:rPr>
                <w:rFonts w:ascii="Arial Narrow" w:hAnsi="Arial Narrow" w:cs="Calibri"/>
                <w:i/>
                <w:color w:val="000000"/>
                <w:sz w:val="18"/>
                <w:szCs w:val="18"/>
              </w:rPr>
              <w:t>Otras cuestiones</w:t>
            </w:r>
          </w:p>
        </w:tc>
        <w:tc>
          <w:tcPr>
            <w:tcW w:w="1036" w:type="dxa"/>
            <w:tcBorders>
              <w:top w:val="nil"/>
              <w:bottom w:val="nil"/>
            </w:tcBorders>
            <w:shd w:val="clear" w:color="auto" w:fill="auto"/>
            <w:noWrap/>
            <w:vAlign w:val="center"/>
            <w:hideMark/>
          </w:tcPr>
          <w:p w14:paraId="71F3359E" w14:textId="77777777"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7</w:t>
            </w:r>
          </w:p>
        </w:tc>
        <w:tc>
          <w:tcPr>
            <w:tcW w:w="1037" w:type="dxa"/>
            <w:tcBorders>
              <w:top w:val="nil"/>
              <w:bottom w:val="nil"/>
              <w:right w:val="single" w:sz="2" w:space="0" w:color="auto"/>
            </w:tcBorders>
            <w:vAlign w:val="center"/>
          </w:tcPr>
          <w:p w14:paraId="20E80B06" w14:textId="5C1CDE9A"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9</w:t>
            </w:r>
          </w:p>
        </w:tc>
        <w:tc>
          <w:tcPr>
            <w:tcW w:w="1037" w:type="dxa"/>
            <w:tcBorders>
              <w:top w:val="nil"/>
              <w:left w:val="single" w:sz="2" w:space="0" w:color="auto"/>
              <w:bottom w:val="nil"/>
            </w:tcBorders>
            <w:shd w:val="clear" w:color="auto" w:fill="auto"/>
            <w:noWrap/>
            <w:vAlign w:val="center"/>
            <w:hideMark/>
          </w:tcPr>
          <w:p w14:paraId="1F87031A" w14:textId="732300F1"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7</w:t>
            </w:r>
          </w:p>
        </w:tc>
        <w:tc>
          <w:tcPr>
            <w:tcW w:w="1037" w:type="dxa"/>
            <w:tcBorders>
              <w:top w:val="nil"/>
              <w:bottom w:val="nil"/>
              <w:right w:val="single" w:sz="2" w:space="0" w:color="auto"/>
            </w:tcBorders>
            <w:vAlign w:val="center"/>
          </w:tcPr>
          <w:p w14:paraId="327FEAED" w14:textId="3196DCD7"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8</w:t>
            </w:r>
          </w:p>
        </w:tc>
        <w:tc>
          <w:tcPr>
            <w:tcW w:w="1037" w:type="dxa"/>
            <w:tcBorders>
              <w:top w:val="nil"/>
              <w:left w:val="single" w:sz="2" w:space="0" w:color="auto"/>
              <w:bottom w:val="nil"/>
            </w:tcBorders>
            <w:shd w:val="clear" w:color="auto" w:fill="auto"/>
            <w:noWrap/>
            <w:vAlign w:val="center"/>
            <w:hideMark/>
          </w:tcPr>
          <w:p w14:paraId="6DDB914C" w14:textId="0F1BA46F"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6</w:t>
            </w:r>
          </w:p>
        </w:tc>
        <w:tc>
          <w:tcPr>
            <w:tcW w:w="1037" w:type="dxa"/>
            <w:tcBorders>
              <w:top w:val="nil"/>
              <w:bottom w:val="nil"/>
            </w:tcBorders>
            <w:vAlign w:val="center"/>
          </w:tcPr>
          <w:p w14:paraId="1A41B9FC" w14:textId="240F19CD"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8</w:t>
            </w:r>
          </w:p>
        </w:tc>
      </w:tr>
      <w:tr w:rsidR="005D0D1A" w:rsidRPr="00A66CB9" w14:paraId="50A1B645" w14:textId="6688B024" w:rsidTr="00623FB3">
        <w:trPr>
          <w:trHeight w:val="198"/>
        </w:trPr>
        <w:tc>
          <w:tcPr>
            <w:tcW w:w="2569" w:type="dxa"/>
            <w:tcBorders>
              <w:top w:val="nil"/>
              <w:bottom w:val="single" w:sz="4" w:space="0" w:color="auto"/>
            </w:tcBorders>
            <w:shd w:val="clear" w:color="auto" w:fill="auto"/>
            <w:noWrap/>
            <w:vAlign w:val="center"/>
            <w:hideMark/>
          </w:tcPr>
          <w:p w14:paraId="62FD8132" w14:textId="6EC2D051" w:rsidR="005D0D1A" w:rsidRPr="00623FB3" w:rsidRDefault="005D0D1A" w:rsidP="0087076C">
            <w:pPr>
              <w:ind w:firstLine="209"/>
              <w:rPr>
                <w:rFonts w:ascii="Arial Narrow" w:hAnsi="Arial Narrow" w:cs="Calibri"/>
                <w:i/>
                <w:color w:val="000000"/>
                <w:sz w:val="18"/>
                <w:szCs w:val="18"/>
              </w:rPr>
            </w:pPr>
            <w:r w:rsidRPr="00623FB3">
              <w:rPr>
                <w:rFonts w:ascii="Arial Narrow" w:hAnsi="Arial Narrow" w:cs="Calibri"/>
                <w:i/>
                <w:color w:val="000000"/>
                <w:sz w:val="18"/>
                <w:szCs w:val="18"/>
              </w:rPr>
              <w:t>Mayores 65 años</w:t>
            </w:r>
          </w:p>
        </w:tc>
        <w:tc>
          <w:tcPr>
            <w:tcW w:w="1036" w:type="dxa"/>
            <w:tcBorders>
              <w:top w:val="nil"/>
              <w:bottom w:val="single" w:sz="4" w:space="0" w:color="auto"/>
            </w:tcBorders>
            <w:shd w:val="clear" w:color="auto" w:fill="auto"/>
            <w:noWrap/>
            <w:vAlign w:val="center"/>
            <w:hideMark/>
          </w:tcPr>
          <w:p w14:paraId="5A9DB5E7" w14:textId="77777777"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2</w:t>
            </w:r>
          </w:p>
        </w:tc>
        <w:tc>
          <w:tcPr>
            <w:tcW w:w="1037" w:type="dxa"/>
            <w:tcBorders>
              <w:top w:val="nil"/>
              <w:bottom w:val="single" w:sz="4" w:space="0" w:color="auto"/>
              <w:right w:val="single" w:sz="2" w:space="0" w:color="auto"/>
            </w:tcBorders>
            <w:vAlign w:val="center"/>
          </w:tcPr>
          <w:p w14:paraId="5149DD9D" w14:textId="5A94A192"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2</w:t>
            </w:r>
          </w:p>
        </w:tc>
        <w:tc>
          <w:tcPr>
            <w:tcW w:w="1037" w:type="dxa"/>
            <w:tcBorders>
              <w:top w:val="nil"/>
              <w:left w:val="single" w:sz="2" w:space="0" w:color="auto"/>
              <w:bottom w:val="single" w:sz="4" w:space="0" w:color="auto"/>
            </w:tcBorders>
            <w:shd w:val="clear" w:color="auto" w:fill="auto"/>
            <w:noWrap/>
            <w:vAlign w:val="center"/>
            <w:hideMark/>
          </w:tcPr>
          <w:p w14:paraId="1BC03362" w14:textId="00FBA732"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2</w:t>
            </w:r>
          </w:p>
        </w:tc>
        <w:tc>
          <w:tcPr>
            <w:tcW w:w="1037" w:type="dxa"/>
            <w:tcBorders>
              <w:top w:val="nil"/>
              <w:bottom w:val="single" w:sz="4" w:space="0" w:color="auto"/>
              <w:right w:val="single" w:sz="2" w:space="0" w:color="auto"/>
            </w:tcBorders>
            <w:vAlign w:val="center"/>
          </w:tcPr>
          <w:p w14:paraId="52F2AC31" w14:textId="03A2E29A"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2</w:t>
            </w:r>
          </w:p>
        </w:tc>
        <w:tc>
          <w:tcPr>
            <w:tcW w:w="1037" w:type="dxa"/>
            <w:tcBorders>
              <w:top w:val="nil"/>
              <w:left w:val="single" w:sz="2" w:space="0" w:color="auto"/>
              <w:bottom w:val="single" w:sz="4" w:space="0" w:color="auto"/>
            </w:tcBorders>
            <w:shd w:val="clear" w:color="auto" w:fill="auto"/>
            <w:noWrap/>
            <w:vAlign w:val="center"/>
            <w:hideMark/>
          </w:tcPr>
          <w:p w14:paraId="24DED8E9" w14:textId="70644D34"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2</w:t>
            </w:r>
          </w:p>
        </w:tc>
        <w:tc>
          <w:tcPr>
            <w:tcW w:w="1037" w:type="dxa"/>
            <w:tcBorders>
              <w:top w:val="nil"/>
              <w:bottom w:val="single" w:sz="4" w:space="0" w:color="auto"/>
            </w:tcBorders>
            <w:vAlign w:val="center"/>
          </w:tcPr>
          <w:p w14:paraId="24DA4CBE" w14:textId="725DA104" w:rsidR="005D0D1A" w:rsidRPr="00623FB3" w:rsidRDefault="005D0D1A" w:rsidP="005D0D1A">
            <w:pPr>
              <w:jc w:val="right"/>
              <w:rPr>
                <w:rFonts w:ascii="Arial Narrow" w:hAnsi="Arial Narrow" w:cs="Calibri"/>
                <w:i/>
                <w:color w:val="000000"/>
                <w:sz w:val="18"/>
                <w:szCs w:val="18"/>
              </w:rPr>
            </w:pPr>
            <w:r w:rsidRPr="00623FB3">
              <w:rPr>
                <w:rFonts w:ascii="Arial Narrow" w:hAnsi="Arial Narrow" w:cs="Calibri"/>
                <w:i/>
                <w:color w:val="000000"/>
                <w:sz w:val="18"/>
                <w:szCs w:val="18"/>
              </w:rPr>
              <w:t>3</w:t>
            </w:r>
          </w:p>
        </w:tc>
      </w:tr>
    </w:tbl>
    <w:p w14:paraId="60469BA9" w14:textId="140B3A9B" w:rsidR="005D0D1A" w:rsidRDefault="08FA4B72" w:rsidP="00BB3F84">
      <w:pPr>
        <w:pStyle w:val="texto"/>
        <w:spacing w:before="240" w:after="140"/>
        <w:jc w:val="both"/>
      </w:pPr>
      <w:r>
        <w:t xml:space="preserve">El </w:t>
      </w:r>
      <w:r w:rsidR="005D0D1A">
        <w:t xml:space="preserve">SIPSS solo registra </w:t>
      </w:r>
      <w:r w:rsidR="00E558C5">
        <w:t>un histórico de datos explotable de una manera automatizada</w:t>
      </w:r>
      <w:r w:rsidR="005D0D1A">
        <w:t xml:space="preserve"> referidos al </w:t>
      </w:r>
      <w:r w:rsidR="292BEA71">
        <w:t>DNI o NIE</w:t>
      </w:r>
      <w:r w:rsidR="005D0D1A">
        <w:t xml:space="preserve"> que nos permita determinar en qué situación se encontraba la persona desde 2021, por lo que no podemos analizar la evolución desde 2019.</w:t>
      </w:r>
    </w:p>
    <w:p w14:paraId="7D5202C8" w14:textId="707A8F45" w:rsidR="00185664" w:rsidRDefault="00806E8B" w:rsidP="00A215EC">
      <w:pPr>
        <w:pStyle w:val="texto"/>
        <w:spacing w:after="140"/>
        <w:jc w:val="both"/>
      </w:pPr>
      <w:r>
        <w:t xml:space="preserve">En 2023 el 56 por ciento de las personas beneficiarias de RG no estaba disponible para el empleo, cifra superior a la de </w:t>
      </w:r>
      <w:r w:rsidR="005D0D1A">
        <w:t xml:space="preserve">2021 </w:t>
      </w:r>
      <w:r>
        <w:t xml:space="preserve">en </w:t>
      </w:r>
      <w:r w:rsidR="005D0D1A">
        <w:t xml:space="preserve">dos </w:t>
      </w:r>
      <w:r>
        <w:t>puntos porcentuale</w:t>
      </w:r>
      <w:r w:rsidR="00185664">
        <w:t xml:space="preserve">s. </w:t>
      </w:r>
    </w:p>
    <w:p w14:paraId="0702B450" w14:textId="2090EA3A" w:rsidR="00185664" w:rsidRDefault="7DC57A11" w:rsidP="00A215EC">
      <w:pPr>
        <w:pStyle w:val="texto"/>
        <w:spacing w:after="140"/>
        <w:jc w:val="both"/>
      </w:pPr>
      <w:r>
        <w:t xml:space="preserve">La principal razón que motiva en 2023 no estar disponible para el empleo es ser menor de 18 años (38 por ciento), seguida de la condición </w:t>
      </w:r>
      <w:r w:rsidR="02745A7B">
        <w:t>de estar en una situación administrativa irregular</w:t>
      </w:r>
      <w:r>
        <w:t xml:space="preserve"> que impide trabajar (nueve por ciento), de otras cuestiones </w:t>
      </w:r>
      <w:r w:rsidRPr="3896A6D9">
        <w:t>señaladas</w:t>
      </w:r>
      <w:r>
        <w:t xml:space="preserve"> por los SSB (incapacidad permanente, situación de baja, etc. en un seis por ciento) y la de ser mayor de 65 años (dos por ciento). </w:t>
      </w:r>
    </w:p>
    <w:p w14:paraId="4876134A" w14:textId="348CA321" w:rsidR="00832C64" w:rsidRDefault="33012732" w:rsidP="00A215EC">
      <w:pPr>
        <w:pStyle w:val="texto"/>
        <w:spacing w:after="140"/>
        <w:jc w:val="both"/>
      </w:pPr>
      <w:r>
        <w:t xml:space="preserve">Hemos realizado una asignación del gasto en RG atendiendo al criterio de reparto </w:t>
      </w:r>
      <w:r w:rsidR="02745A7B">
        <w:t>del gasto</w:t>
      </w:r>
      <w:r>
        <w:t xml:space="preserve"> </w:t>
      </w:r>
      <w:r w:rsidRPr="00A215EC">
        <w:rPr>
          <w:lang w:val="es-ES_tradnl"/>
        </w:rPr>
        <w:t>establecido</w:t>
      </w:r>
      <w:r>
        <w:t xml:space="preserve"> en las resoluciones de concesión de esta prestación</w:t>
      </w:r>
      <w:r w:rsidR="00E5335C">
        <w:t>,</w:t>
      </w:r>
      <w:r>
        <w:t xml:space="preserve"> donde se indica que la cuantía de gasto es proporcional para cada miembro de la unidad familiar. </w:t>
      </w:r>
    </w:p>
    <w:p w14:paraId="5FD4283E" w14:textId="5AA134BC" w:rsidR="00E558C5" w:rsidRDefault="005D0D1A" w:rsidP="00A215EC">
      <w:pPr>
        <w:pStyle w:val="texto"/>
        <w:spacing w:after="140"/>
        <w:jc w:val="both"/>
        <w:rPr>
          <w:szCs w:val="26"/>
        </w:rPr>
      </w:pPr>
      <w:r>
        <w:rPr>
          <w:szCs w:val="26"/>
        </w:rPr>
        <w:t>E</w:t>
      </w:r>
      <w:r w:rsidR="00862E12">
        <w:rPr>
          <w:szCs w:val="26"/>
        </w:rPr>
        <w:t>n 2023, más de la mitad</w:t>
      </w:r>
      <w:r w:rsidR="00B779F6">
        <w:rPr>
          <w:szCs w:val="26"/>
        </w:rPr>
        <w:t xml:space="preserve"> del gasto </w:t>
      </w:r>
      <w:r w:rsidR="00862E12">
        <w:rPr>
          <w:szCs w:val="26"/>
        </w:rPr>
        <w:t>se destinó</w:t>
      </w:r>
      <w:r w:rsidR="00B779F6">
        <w:rPr>
          <w:szCs w:val="26"/>
        </w:rPr>
        <w:t xml:space="preserve"> a personal </w:t>
      </w:r>
      <w:r w:rsidR="00862E12">
        <w:rPr>
          <w:szCs w:val="26"/>
        </w:rPr>
        <w:t>no</w:t>
      </w:r>
      <w:r w:rsidR="00B779F6">
        <w:rPr>
          <w:szCs w:val="26"/>
        </w:rPr>
        <w:t xml:space="preserve"> disponible para el empleo por su edad, por </w:t>
      </w:r>
      <w:r w:rsidR="002E314C">
        <w:rPr>
          <w:szCs w:val="26"/>
        </w:rPr>
        <w:t>estar en una situación administrativa irregular</w:t>
      </w:r>
      <w:r w:rsidR="00B779F6">
        <w:rPr>
          <w:szCs w:val="26"/>
        </w:rPr>
        <w:t xml:space="preserve"> o por otras cuestiones indicadas por los SSB (enfermedad, discapacidad, etc.)</w:t>
      </w:r>
      <w:r>
        <w:rPr>
          <w:szCs w:val="26"/>
        </w:rPr>
        <w:t>, cifra superior a la de 2021 en dos puntos porcentuales</w:t>
      </w:r>
      <w:r w:rsidR="00B779F6">
        <w:rPr>
          <w:szCs w:val="26"/>
        </w:rPr>
        <w:t xml:space="preserve">. </w:t>
      </w:r>
    </w:p>
    <w:p w14:paraId="3A08AD94" w14:textId="753CE6F0" w:rsidR="00B246C5" w:rsidRPr="000C24C5" w:rsidRDefault="005D0D1A" w:rsidP="00623FB3">
      <w:pPr>
        <w:pStyle w:val="texto"/>
        <w:numPr>
          <w:ilvl w:val="0"/>
          <w:numId w:val="5"/>
        </w:numPr>
        <w:tabs>
          <w:tab w:val="clear" w:pos="2835"/>
          <w:tab w:val="clear" w:pos="3969"/>
          <w:tab w:val="clear" w:pos="5103"/>
          <w:tab w:val="clear" w:pos="6237"/>
          <w:tab w:val="clear" w:pos="7371"/>
          <w:tab w:val="num" w:pos="300"/>
          <w:tab w:val="left" w:pos="480"/>
          <w:tab w:val="num" w:pos="600"/>
        </w:tabs>
        <w:spacing w:after="240"/>
        <w:ind w:left="0" w:firstLine="289"/>
        <w:jc w:val="both"/>
      </w:pPr>
      <w:r>
        <w:t>Porcentaje de personas que acceden a un trabajo</w:t>
      </w:r>
      <w:r w:rsidR="00B246C5" w:rsidRPr="003E4C67">
        <w:t xml:space="preserve"> siendo perceptoras de RG </w:t>
      </w:r>
      <w:r>
        <w:t xml:space="preserve">entre el número </w:t>
      </w:r>
      <w:r w:rsidRPr="00461770">
        <w:rPr>
          <w:rFonts w:eastAsia="Calibri"/>
          <w:szCs w:val="26"/>
        </w:rPr>
        <w:t>de</w:t>
      </w:r>
      <w:r>
        <w:t xml:space="preserve"> personas disponibles para el empleo:</w:t>
      </w:r>
      <w:r w:rsidR="003E4C67">
        <w:t xml:space="preserve"> </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158"/>
        <w:gridCol w:w="1127"/>
        <w:gridCol w:w="1126"/>
        <w:gridCol w:w="1126"/>
        <w:gridCol w:w="1126"/>
        <w:gridCol w:w="1126"/>
      </w:tblGrid>
      <w:tr w:rsidR="00C013B1" w:rsidRPr="00A66CB9" w14:paraId="0FD11835" w14:textId="77777777" w:rsidTr="00C94056">
        <w:trPr>
          <w:trHeight w:val="255"/>
        </w:trPr>
        <w:tc>
          <w:tcPr>
            <w:tcW w:w="3261" w:type="dxa"/>
            <w:tcBorders>
              <w:bottom w:val="single" w:sz="4" w:space="0" w:color="auto"/>
            </w:tcBorders>
            <w:shd w:val="clear" w:color="auto" w:fill="9CC2E5" w:themeFill="accent1" w:themeFillTint="99"/>
            <w:noWrap/>
            <w:vAlign w:val="center"/>
          </w:tcPr>
          <w:p w14:paraId="66204FF1" w14:textId="77777777" w:rsidR="00C013B1" w:rsidRPr="003E4C67" w:rsidRDefault="00C013B1" w:rsidP="00366A4D">
            <w:pPr>
              <w:rPr>
                <w:rFonts w:ascii="Arial" w:hAnsi="Arial" w:cs="Arial"/>
                <w:bCs/>
                <w:color w:val="000000"/>
                <w:sz w:val="18"/>
                <w:szCs w:val="18"/>
              </w:rPr>
            </w:pPr>
          </w:p>
        </w:tc>
        <w:tc>
          <w:tcPr>
            <w:tcW w:w="1160" w:type="dxa"/>
            <w:tcBorders>
              <w:bottom w:val="single" w:sz="4" w:space="0" w:color="auto"/>
            </w:tcBorders>
            <w:shd w:val="clear" w:color="auto" w:fill="9CC2E5" w:themeFill="accent1" w:themeFillTint="99"/>
            <w:noWrap/>
            <w:vAlign w:val="center"/>
            <w:hideMark/>
          </w:tcPr>
          <w:p w14:paraId="31B1E7D3" w14:textId="77777777" w:rsidR="00C013B1" w:rsidRPr="003E4C67" w:rsidRDefault="00C013B1" w:rsidP="00C94056">
            <w:pPr>
              <w:jc w:val="right"/>
              <w:rPr>
                <w:rFonts w:ascii="Arial" w:hAnsi="Arial" w:cs="Arial"/>
                <w:bCs/>
                <w:color w:val="000000"/>
                <w:sz w:val="18"/>
                <w:szCs w:val="18"/>
              </w:rPr>
            </w:pPr>
            <w:r w:rsidRPr="003E4C67">
              <w:rPr>
                <w:rFonts w:ascii="Arial" w:hAnsi="Arial" w:cs="Arial"/>
                <w:bCs/>
                <w:color w:val="000000"/>
                <w:sz w:val="18"/>
                <w:szCs w:val="18"/>
              </w:rPr>
              <w:t>2019</w:t>
            </w:r>
          </w:p>
        </w:tc>
        <w:tc>
          <w:tcPr>
            <w:tcW w:w="1160" w:type="dxa"/>
            <w:tcBorders>
              <w:bottom w:val="single" w:sz="4" w:space="0" w:color="auto"/>
            </w:tcBorders>
            <w:shd w:val="clear" w:color="auto" w:fill="9CC2E5" w:themeFill="accent1" w:themeFillTint="99"/>
            <w:noWrap/>
            <w:vAlign w:val="center"/>
            <w:hideMark/>
          </w:tcPr>
          <w:p w14:paraId="1A464598" w14:textId="77777777" w:rsidR="00C013B1" w:rsidRPr="003E4C67" w:rsidRDefault="00C013B1" w:rsidP="00C94056">
            <w:pPr>
              <w:jc w:val="right"/>
              <w:rPr>
                <w:rFonts w:ascii="Arial" w:hAnsi="Arial" w:cs="Arial"/>
                <w:bCs/>
                <w:color w:val="000000"/>
                <w:sz w:val="18"/>
                <w:szCs w:val="18"/>
              </w:rPr>
            </w:pPr>
            <w:r w:rsidRPr="003E4C67">
              <w:rPr>
                <w:rFonts w:ascii="Arial" w:hAnsi="Arial" w:cs="Arial"/>
                <w:bCs/>
                <w:color w:val="000000"/>
                <w:sz w:val="18"/>
                <w:szCs w:val="18"/>
              </w:rPr>
              <w:t>2020</w:t>
            </w:r>
          </w:p>
        </w:tc>
        <w:tc>
          <w:tcPr>
            <w:tcW w:w="1160" w:type="dxa"/>
            <w:tcBorders>
              <w:bottom w:val="single" w:sz="4" w:space="0" w:color="auto"/>
            </w:tcBorders>
            <w:shd w:val="clear" w:color="auto" w:fill="9CC2E5" w:themeFill="accent1" w:themeFillTint="99"/>
            <w:noWrap/>
            <w:vAlign w:val="center"/>
            <w:hideMark/>
          </w:tcPr>
          <w:p w14:paraId="0054E802" w14:textId="77777777" w:rsidR="00C013B1" w:rsidRPr="003E4C67" w:rsidRDefault="00C013B1" w:rsidP="00C94056">
            <w:pPr>
              <w:jc w:val="right"/>
              <w:rPr>
                <w:rFonts w:ascii="Arial" w:hAnsi="Arial" w:cs="Arial"/>
                <w:bCs/>
                <w:color w:val="000000"/>
                <w:sz w:val="18"/>
                <w:szCs w:val="18"/>
              </w:rPr>
            </w:pPr>
            <w:r w:rsidRPr="003E4C67">
              <w:rPr>
                <w:rFonts w:ascii="Arial" w:hAnsi="Arial" w:cs="Arial"/>
                <w:bCs/>
                <w:color w:val="000000"/>
                <w:sz w:val="18"/>
                <w:szCs w:val="18"/>
              </w:rPr>
              <w:t>2021</w:t>
            </w:r>
          </w:p>
        </w:tc>
        <w:tc>
          <w:tcPr>
            <w:tcW w:w="1160" w:type="dxa"/>
            <w:tcBorders>
              <w:bottom w:val="single" w:sz="4" w:space="0" w:color="auto"/>
            </w:tcBorders>
            <w:shd w:val="clear" w:color="auto" w:fill="9CC2E5" w:themeFill="accent1" w:themeFillTint="99"/>
            <w:noWrap/>
            <w:vAlign w:val="center"/>
            <w:hideMark/>
          </w:tcPr>
          <w:p w14:paraId="162C3D42" w14:textId="77777777" w:rsidR="00C013B1" w:rsidRPr="003E4C67" w:rsidRDefault="00C013B1" w:rsidP="00C94056">
            <w:pPr>
              <w:jc w:val="right"/>
              <w:rPr>
                <w:rFonts w:ascii="Arial" w:hAnsi="Arial" w:cs="Arial"/>
                <w:bCs/>
                <w:color w:val="000000"/>
                <w:sz w:val="18"/>
                <w:szCs w:val="18"/>
              </w:rPr>
            </w:pPr>
            <w:r w:rsidRPr="003E4C67">
              <w:rPr>
                <w:rFonts w:ascii="Arial" w:hAnsi="Arial" w:cs="Arial"/>
                <w:bCs/>
                <w:color w:val="000000"/>
                <w:sz w:val="18"/>
                <w:szCs w:val="18"/>
              </w:rPr>
              <w:t>2022</w:t>
            </w:r>
          </w:p>
        </w:tc>
        <w:tc>
          <w:tcPr>
            <w:tcW w:w="1160" w:type="dxa"/>
            <w:tcBorders>
              <w:bottom w:val="single" w:sz="4" w:space="0" w:color="auto"/>
            </w:tcBorders>
            <w:shd w:val="clear" w:color="auto" w:fill="9CC2E5" w:themeFill="accent1" w:themeFillTint="99"/>
            <w:noWrap/>
            <w:vAlign w:val="center"/>
            <w:hideMark/>
          </w:tcPr>
          <w:p w14:paraId="000E632F" w14:textId="77777777" w:rsidR="00C013B1" w:rsidRPr="00A66CB9" w:rsidRDefault="00C013B1" w:rsidP="00C94056">
            <w:pPr>
              <w:jc w:val="right"/>
              <w:rPr>
                <w:rFonts w:ascii="Arial" w:hAnsi="Arial" w:cs="Arial"/>
                <w:bCs/>
                <w:color w:val="000000"/>
                <w:sz w:val="18"/>
                <w:szCs w:val="18"/>
              </w:rPr>
            </w:pPr>
            <w:r w:rsidRPr="003E4C67">
              <w:rPr>
                <w:rFonts w:ascii="Arial" w:hAnsi="Arial" w:cs="Arial"/>
                <w:bCs/>
                <w:color w:val="000000"/>
                <w:sz w:val="18"/>
                <w:szCs w:val="18"/>
              </w:rPr>
              <w:t>2023</w:t>
            </w:r>
          </w:p>
        </w:tc>
      </w:tr>
      <w:tr w:rsidR="00C013B1" w:rsidRPr="00A66CB9" w14:paraId="55F9C786" w14:textId="77777777" w:rsidTr="00C94056">
        <w:trPr>
          <w:trHeight w:val="198"/>
        </w:trPr>
        <w:tc>
          <w:tcPr>
            <w:tcW w:w="3261" w:type="dxa"/>
            <w:tcBorders>
              <w:bottom w:val="single" w:sz="4" w:space="0" w:color="auto"/>
            </w:tcBorders>
            <w:shd w:val="clear" w:color="auto" w:fill="auto"/>
            <w:noWrap/>
            <w:vAlign w:val="center"/>
            <w:hideMark/>
          </w:tcPr>
          <w:p w14:paraId="6B4BCB9A" w14:textId="77777777" w:rsidR="00C94056" w:rsidRDefault="00C013B1" w:rsidP="00366A4D">
            <w:pPr>
              <w:rPr>
                <w:rFonts w:ascii="Arial Narrow" w:hAnsi="Arial Narrow" w:cs="Calibri"/>
                <w:color w:val="000000"/>
                <w:sz w:val="20"/>
                <w:szCs w:val="20"/>
              </w:rPr>
            </w:pPr>
            <w:r>
              <w:rPr>
                <w:rFonts w:ascii="Arial Narrow" w:hAnsi="Arial Narrow" w:cs="Calibri"/>
                <w:color w:val="000000"/>
                <w:sz w:val="20"/>
                <w:szCs w:val="20"/>
              </w:rPr>
              <w:t xml:space="preserve">Nº personas que acceden a un trabajo / </w:t>
            </w:r>
          </w:p>
          <w:p w14:paraId="67B60A47" w14:textId="61EA0EEF" w:rsidR="00C013B1" w:rsidRPr="00A66CB9" w:rsidRDefault="00C013B1" w:rsidP="00366A4D">
            <w:pPr>
              <w:rPr>
                <w:rFonts w:ascii="Arial Narrow" w:hAnsi="Arial Narrow" w:cs="Calibri"/>
                <w:color w:val="000000"/>
                <w:sz w:val="20"/>
                <w:szCs w:val="20"/>
              </w:rPr>
            </w:pPr>
            <w:r>
              <w:rPr>
                <w:rFonts w:ascii="Arial Narrow" w:hAnsi="Arial Narrow" w:cs="Calibri"/>
                <w:color w:val="000000"/>
                <w:sz w:val="20"/>
                <w:szCs w:val="20"/>
              </w:rPr>
              <w:t>nº personas disponibles para el empleo</w:t>
            </w:r>
          </w:p>
        </w:tc>
        <w:tc>
          <w:tcPr>
            <w:tcW w:w="1160" w:type="dxa"/>
            <w:tcBorders>
              <w:bottom w:val="single" w:sz="4" w:space="0" w:color="auto"/>
            </w:tcBorders>
            <w:shd w:val="clear" w:color="auto" w:fill="auto"/>
            <w:noWrap/>
            <w:vAlign w:val="center"/>
            <w:hideMark/>
          </w:tcPr>
          <w:p w14:paraId="57393B24" w14:textId="706AFB45" w:rsidR="00C013B1" w:rsidRPr="00862E12" w:rsidRDefault="000C24C5" w:rsidP="00C94056">
            <w:pPr>
              <w:jc w:val="right"/>
              <w:rPr>
                <w:rFonts w:ascii="Arial Narrow" w:hAnsi="Arial Narrow" w:cs="Calibri"/>
                <w:color w:val="000000"/>
                <w:sz w:val="20"/>
                <w:szCs w:val="20"/>
              </w:rPr>
            </w:pPr>
            <w:r>
              <w:rPr>
                <w:rFonts w:ascii="Arial Narrow" w:hAnsi="Arial Narrow" w:cs="Calibri"/>
                <w:color w:val="000000"/>
                <w:sz w:val="20"/>
                <w:szCs w:val="20"/>
              </w:rPr>
              <w:t>-</w:t>
            </w:r>
          </w:p>
        </w:tc>
        <w:tc>
          <w:tcPr>
            <w:tcW w:w="1160" w:type="dxa"/>
            <w:tcBorders>
              <w:bottom w:val="single" w:sz="4" w:space="0" w:color="auto"/>
            </w:tcBorders>
            <w:shd w:val="clear" w:color="auto" w:fill="auto"/>
            <w:noWrap/>
            <w:vAlign w:val="center"/>
            <w:hideMark/>
          </w:tcPr>
          <w:p w14:paraId="41C0AA51" w14:textId="08F6AF2F" w:rsidR="00C013B1" w:rsidRPr="00862E12" w:rsidRDefault="000C24C5" w:rsidP="00C94056">
            <w:pPr>
              <w:jc w:val="right"/>
              <w:rPr>
                <w:rFonts w:ascii="Arial Narrow" w:hAnsi="Arial Narrow" w:cs="Calibri"/>
                <w:color w:val="000000"/>
                <w:sz w:val="20"/>
                <w:szCs w:val="20"/>
              </w:rPr>
            </w:pPr>
            <w:r>
              <w:rPr>
                <w:rFonts w:ascii="Arial Narrow" w:hAnsi="Arial Narrow" w:cs="Calibri"/>
                <w:color w:val="000000"/>
                <w:sz w:val="20"/>
                <w:szCs w:val="20"/>
              </w:rPr>
              <w:t>-</w:t>
            </w:r>
          </w:p>
        </w:tc>
        <w:tc>
          <w:tcPr>
            <w:tcW w:w="1160" w:type="dxa"/>
            <w:tcBorders>
              <w:bottom w:val="single" w:sz="4" w:space="0" w:color="auto"/>
            </w:tcBorders>
            <w:shd w:val="clear" w:color="auto" w:fill="auto"/>
            <w:noWrap/>
            <w:vAlign w:val="center"/>
            <w:hideMark/>
          </w:tcPr>
          <w:p w14:paraId="60DA3216" w14:textId="77777777" w:rsidR="00C013B1" w:rsidRPr="00862E12" w:rsidRDefault="00C013B1" w:rsidP="00C94056">
            <w:pPr>
              <w:jc w:val="right"/>
              <w:rPr>
                <w:rFonts w:ascii="Arial Narrow" w:hAnsi="Arial Narrow" w:cs="Calibri"/>
                <w:color w:val="000000"/>
                <w:sz w:val="20"/>
                <w:szCs w:val="20"/>
              </w:rPr>
            </w:pPr>
            <w:r>
              <w:rPr>
                <w:rFonts w:ascii="Arial Narrow" w:hAnsi="Arial Narrow" w:cs="Calibri"/>
                <w:color w:val="000000"/>
                <w:sz w:val="20"/>
                <w:szCs w:val="20"/>
              </w:rPr>
              <w:t>30</w:t>
            </w:r>
          </w:p>
        </w:tc>
        <w:tc>
          <w:tcPr>
            <w:tcW w:w="1160" w:type="dxa"/>
            <w:tcBorders>
              <w:bottom w:val="single" w:sz="4" w:space="0" w:color="auto"/>
            </w:tcBorders>
            <w:shd w:val="clear" w:color="auto" w:fill="auto"/>
            <w:noWrap/>
            <w:vAlign w:val="center"/>
            <w:hideMark/>
          </w:tcPr>
          <w:p w14:paraId="18E8C380" w14:textId="77777777" w:rsidR="00C013B1" w:rsidRPr="00862E12" w:rsidRDefault="00C013B1" w:rsidP="00C94056">
            <w:pPr>
              <w:jc w:val="right"/>
              <w:rPr>
                <w:rFonts w:ascii="Arial Narrow" w:hAnsi="Arial Narrow" w:cs="Calibri"/>
                <w:color w:val="000000"/>
                <w:sz w:val="20"/>
                <w:szCs w:val="20"/>
              </w:rPr>
            </w:pPr>
            <w:r>
              <w:rPr>
                <w:rFonts w:ascii="Arial Narrow" w:hAnsi="Arial Narrow" w:cs="Calibri"/>
                <w:color w:val="000000"/>
                <w:sz w:val="20"/>
                <w:szCs w:val="20"/>
              </w:rPr>
              <w:t>30</w:t>
            </w:r>
          </w:p>
        </w:tc>
        <w:tc>
          <w:tcPr>
            <w:tcW w:w="1160" w:type="dxa"/>
            <w:tcBorders>
              <w:bottom w:val="single" w:sz="4" w:space="0" w:color="auto"/>
            </w:tcBorders>
            <w:shd w:val="clear" w:color="auto" w:fill="auto"/>
            <w:noWrap/>
            <w:vAlign w:val="center"/>
            <w:hideMark/>
          </w:tcPr>
          <w:p w14:paraId="029B61C8" w14:textId="77777777" w:rsidR="00C013B1" w:rsidRPr="00862E12" w:rsidRDefault="4FB35DA0" w:rsidP="00C94056">
            <w:pPr>
              <w:jc w:val="right"/>
              <w:rPr>
                <w:rFonts w:ascii="Arial Narrow" w:hAnsi="Arial Narrow" w:cs="Calibri"/>
                <w:color w:val="000000"/>
                <w:sz w:val="20"/>
                <w:szCs w:val="20"/>
              </w:rPr>
            </w:pPr>
            <w:r w:rsidRPr="5D8B6717">
              <w:rPr>
                <w:rFonts w:ascii="Arial Narrow" w:hAnsi="Arial Narrow" w:cs="Calibri"/>
                <w:color w:val="000000" w:themeColor="text1"/>
                <w:sz w:val="20"/>
                <w:szCs w:val="20"/>
              </w:rPr>
              <w:t>26</w:t>
            </w:r>
          </w:p>
        </w:tc>
      </w:tr>
    </w:tbl>
    <w:p w14:paraId="7962EDEC" w14:textId="6005AF48" w:rsidR="00625187" w:rsidRPr="00625187" w:rsidRDefault="00C013B1" w:rsidP="00623FB3">
      <w:pPr>
        <w:pStyle w:val="texto"/>
        <w:spacing w:before="240" w:after="140"/>
        <w:jc w:val="both"/>
      </w:pPr>
      <w:r>
        <w:lastRenderedPageBreak/>
        <w:t xml:space="preserve">En </w:t>
      </w:r>
      <w:r w:rsidR="005D0D1A">
        <w:t>2023</w:t>
      </w:r>
      <w:r>
        <w:t>, el 2</w:t>
      </w:r>
      <w:r w:rsidR="005D0D1A">
        <w:t>6</w:t>
      </w:r>
      <w:r>
        <w:t xml:space="preserve"> por ciento de las personas disponibles para el empleo accedieron a un </w:t>
      </w:r>
      <w:r w:rsidRPr="3896A6D9">
        <w:t>trabajo</w:t>
      </w:r>
      <w:r>
        <w:t xml:space="preserve"> siendo perceptoras de la RG, sin que podamos analizar la tipología de contrato de cada una de ellas (duración, salario, etc.).</w:t>
      </w:r>
    </w:p>
    <w:p w14:paraId="23CE57FA" w14:textId="326F3852" w:rsidR="003E4C67" w:rsidRDefault="003E4C67" w:rsidP="00461770">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pPr>
      <w:r>
        <w:t>Personas perceptoras de RG que dejan de recibirla por acceder a un trabajo y la retoman posteriormente:</w:t>
      </w:r>
    </w:p>
    <w:p w14:paraId="3E11CCA4" w14:textId="697F07C4" w:rsidR="003E4C67" w:rsidRDefault="003E4C67" w:rsidP="003E4C67">
      <w:pPr>
        <w:pStyle w:val="texto"/>
        <w:tabs>
          <w:tab w:val="clear" w:pos="2835"/>
          <w:tab w:val="clear" w:pos="3969"/>
          <w:tab w:val="clear" w:pos="5103"/>
          <w:tab w:val="clear" w:pos="6237"/>
          <w:tab w:val="clear" w:pos="7371"/>
        </w:tabs>
        <w:spacing w:before="120" w:after="240"/>
        <w:jc w:val="both"/>
      </w:pPr>
      <w:r>
        <w:t xml:space="preserve">Hemos constatado que en el periodo 2019-2023, 21.563 personas </w:t>
      </w:r>
      <w:r w:rsidR="004346B5">
        <w:t xml:space="preserve">distintas </w:t>
      </w:r>
      <w:r>
        <w:t xml:space="preserve">dejaron de percibir la RG por distintos motivos y la retomaron en 28.338 ocasiones tras transcurrir distintos intervalos temporales tal y como mostramos a continuación:  </w:t>
      </w:r>
    </w:p>
    <w:tbl>
      <w:tblPr>
        <w:tblW w:w="8794" w:type="dxa"/>
        <w:tblInd w:w="-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52"/>
        <w:gridCol w:w="1168"/>
        <w:gridCol w:w="1168"/>
        <w:gridCol w:w="1169"/>
        <w:gridCol w:w="1168"/>
        <w:gridCol w:w="1169"/>
      </w:tblGrid>
      <w:tr w:rsidR="003E4C67" w:rsidRPr="00574383" w14:paraId="2E4E7D8E" w14:textId="77777777" w:rsidTr="0087076C">
        <w:trPr>
          <w:trHeight w:val="408"/>
        </w:trPr>
        <w:tc>
          <w:tcPr>
            <w:tcW w:w="2952" w:type="dxa"/>
            <w:shd w:val="clear" w:color="auto" w:fill="9CC2E5" w:themeFill="accent1" w:themeFillTint="99"/>
            <w:noWrap/>
            <w:vAlign w:val="bottom"/>
            <w:hideMark/>
          </w:tcPr>
          <w:p w14:paraId="4BE4799B" w14:textId="77777777" w:rsidR="003E4C67" w:rsidRPr="00574383" w:rsidRDefault="003E4C67" w:rsidP="004F5A39">
            <w:pPr>
              <w:rPr>
                <w:rFonts w:ascii="Arial" w:hAnsi="Arial" w:cs="Arial"/>
                <w:color w:val="000000"/>
                <w:sz w:val="18"/>
                <w:szCs w:val="18"/>
              </w:rPr>
            </w:pPr>
            <w:r w:rsidRPr="00574383">
              <w:rPr>
                <w:rFonts w:ascii="Arial" w:hAnsi="Arial" w:cs="Arial"/>
                <w:color w:val="000000"/>
                <w:sz w:val="18"/>
                <w:szCs w:val="18"/>
              </w:rPr>
              <w:t> </w:t>
            </w:r>
          </w:p>
        </w:tc>
        <w:tc>
          <w:tcPr>
            <w:tcW w:w="1168" w:type="dxa"/>
            <w:shd w:val="clear" w:color="auto" w:fill="9CC2E5" w:themeFill="accent1" w:themeFillTint="99"/>
            <w:vAlign w:val="center"/>
            <w:hideMark/>
          </w:tcPr>
          <w:p w14:paraId="171A1AD5" w14:textId="77777777" w:rsidR="003E4C67" w:rsidRDefault="003E4C67" w:rsidP="004F5A39">
            <w:pPr>
              <w:jc w:val="right"/>
              <w:rPr>
                <w:rFonts w:ascii="Arial" w:hAnsi="Arial" w:cs="Arial"/>
                <w:color w:val="000000"/>
                <w:sz w:val="18"/>
                <w:szCs w:val="18"/>
              </w:rPr>
            </w:pPr>
            <w:r>
              <w:rPr>
                <w:rFonts w:ascii="Arial" w:hAnsi="Arial" w:cs="Arial"/>
                <w:color w:val="000000"/>
                <w:sz w:val="18"/>
                <w:szCs w:val="18"/>
              </w:rPr>
              <w:t xml:space="preserve">Menos </w:t>
            </w:r>
          </w:p>
          <w:p w14:paraId="5F8429F4" w14:textId="77777777" w:rsidR="003E4C67" w:rsidRPr="00574383" w:rsidRDefault="003E4C67" w:rsidP="004F5A39">
            <w:pPr>
              <w:jc w:val="right"/>
              <w:rPr>
                <w:rFonts w:ascii="Arial" w:hAnsi="Arial" w:cs="Arial"/>
                <w:color w:val="000000"/>
                <w:sz w:val="18"/>
                <w:szCs w:val="18"/>
              </w:rPr>
            </w:pPr>
            <w:r>
              <w:rPr>
                <w:rFonts w:ascii="Arial" w:hAnsi="Arial" w:cs="Arial"/>
                <w:color w:val="000000"/>
                <w:sz w:val="18"/>
                <w:szCs w:val="18"/>
              </w:rPr>
              <w:t>tres</w:t>
            </w:r>
            <w:r w:rsidRPr="00574383">
              <w:rPr>
                <w:rFonts w:ascii="Arial" w:hAnsi="Arial" w:cs="Arial"/>
                <w:color w:val="000000"/>
                <w:sz w:val="18"/>
                <w:szCs w:val="18"/>
              </w:rPr>
              <w:t xml:space="preserve"> meses</w:t>
            </w:r>
          </w:p>
        </w:tc>
        <w:tc>
          <w:tcPr>
            <w:tcW w:w="1168" w:type="dxa"/>
            <w:shd w:val="clear" w:color="auto" w:fill="9CC2E5" w:themeFill="accent1" w:themeFillTint="99"/>
            <w:vAlign w:val="center"/>
            <w:hideMark/>
          </w:tcPr>
          <w:p w14:paraId="6C4A67E7" w14:textId="77777777" w:rsidR="003E4C67" w:rsidRPr="00574383" w:rsidRDefault="003E4C67" w:rsidP="004F5A39">
            <w:pPr>
              <w:jc w:val="right"/>
              <w:rPr>
                <w:rFonts w:ascii="Arial" w:hAnsi="Arial" w:cs="Arial"/>
                <w:color w:val="000000"/>
                <w:sz w:val="18"/>
                <w:szCs w:val="18"/>
              </w:rPr>
            </w:pPr>
            <w:r w:rsidRPr="00574383">
              <w:rPr>
                <w:rFonts w:ascii="Arial" w:hAnsi="Arial" w:cs="Arial"/>
                <w:color w:val="000000"/>
                <w:sz w:val="18"/>
                <w:szCs w:val="18"/>
              </w:rPr>
              <w:t xml:space="preserve">Entre </w:t>
            </w:r>
            <w:r>
              <w:rPr>
                <w:rFonts w:ascii="Arial" w:hAnsi="Arial" w:cs="Arial"/>
                <w:color w:val="000000"/>
                <w:sz w:val="18"/>
                <w:szCs w:val="18"/>
              </w:rPr>
              <w:t>tres y seis</w:t>
            </w:r>
            <w:r w:rsidRPr="00574383">
              <w:rPr>
                <w:rFonts w:ascii="Arial" w:hAnsi="Arial" w:cs="Arial"/>
                <w:color w:val="000000"/>
                <w:sz w:val="18"/>
                <w:szCs w:val="18"/>
              </w:rPr>
              <w:t xml:space="preserve"> meses</w:t>
            </w:r>
          </w:p>
        </w:tc>
        <w:tc>
          <w:tcPr>
            <w:tcW w:w="1169" w:type="dxa"/>
            <w:shd w:val="clear" w:color="auto" w:fill="9CC2E5" w:themeFill="accent1" w:themeFillTint="99"/>
            <w:vAlign w:val="center"/>
            <w:hideMark/>
          </w:tcPr>
          <w:p w14:paraId="7D810931" w14:textId="77777777" w:rsidR="003E4C67" w:rsidRPr="00574383" w:rsidRDefault="003E4C67" w:rsidP="004F5A39">
            <w:pPr>
              <w:jc w:val="right"/>
              <w:rPr>
                <w:rFonts w:ascii="Arial" w:hAnsi="Arial" w:cs="Arial"/>
                <w:color w:val="000000"/>
                <w:sz w:val="18"/>
                <w:szCs w:val="18"/>
              </w:rPr>
            </w:pPr>
            <w:r w:rsidRPr="00574383">
              <w:rPr>
                <w:rFonts w:ascii="Arial" w:hAnsi="Arial" w:cs="Arial"/>
                <w:color w:val="000000"/>
                <w:sz w:val="18"/>
                <w:szCs w:val="18"/>
              </w:rPr>
              <w:t xml:space="preserve">Entre </w:t>
            </w:r>
            <w:r>
              <w:rPr>
                <w:rFonts w:ascii="Arial" w:hAnsi="Arial" w:cs="Arial"/>
                <w:color w:val="000000"/>
                <w:sz w:val="18"/>
                <w:szCs w:val="18"/>
              </w:rPr>
              <w:t>seis y nueve</w:t>
            </w:r>
            <w:r w:rsidRPr="00574383">
              <w:rPr>
                <w:rFonts w:ascii="Arial" w:hAnsi="Arial" w:cs="Arial"/>
                <w:color w:val="000000"/>
                <w:sz w:val="18"/>
                <w:szCs w:val="18"/>
              </w:rPr>
              <w:t xml:space="preserve"> meses</w:t>
            </w:r>
          </w:p>
        </w:tc>
        <w:tc>
          <w:tcPr>
            <w:tcW w:w="1168" w:type="dxa"/>
            <w:shd w:val="clear" w:color="auto" w:fill="9CC2E5" w:themeFill="accent1" w:themeFillTint="99"/>
            <w:vAlign w:val="center"/>
            <w:hideMark/>
          </w:tcPr>
          <w:p w14:paraId="5A4A9BCE" w14:textId="77777777" w:rsidR="003E4C67" w:rsidRDefault="003E4C67" w:rsidP="004F5A39">
            <w:pPr>
              <w:jc w:val="right"/>
              <w:rPr>
                <w:rFonts w:ascii="Arial" w:hAnsi="Arial" w:cs="Arial"/>
                <w:color w:val="000000"/>
                <w:sz w:val="18"/>
                <w:szCs w:val="18"/>
              </w:rPr>
            </w:pPr>
            <w:r w:rsidRPr="00574383">
              <w:rPr>
                <w:rFonts w:ascii="Arial" w:hAnsi="Arial" w:cs="Arial"/>
                <w:color w:val="000000"/>
                <w:sz w:val="18"/>
                <w:szCs w:val="18"/>
              </w:rPr>
              <w:t xml:space="preserve">Entre </w:t>
            </w:r>
            <w:r>
              <w:rPr>
                <w:rFonts w:ascii="Arial" w:hAnsi="Arial" w:cs="Arial"/>
                <w:color w:val="000000"/>
                <w:sz w:val="18"/>
                <w:szCs w:val="18"/>
              </w:rPr>
              <w:t>nueve</w:t>
            </w:r>
            <w:r w:rsidRPr="00574383">
              <w:rPr>
                <w:rFonts w:ascii="Arial" w:hAnsi="Arial" w:cs="Arial"/>
                <w:color w:val="000000"/>
                <w:sz w:val="18"/>
                <w:szCs w:val="18"/>
              </w:rPr>
              <w:t xml:space="preserve"> </w:t>
            </w:r>
          </w:p>
          <w:p w14:paraId="7B48032D" w14:textId="77777777" w:rsidR="003E4C67" w:rsidRPr="00574383" w:rsidRDefault="003E4C67" w:rsidP="004F5A39">
            <w:pPr>
              <w:jc w:val="right"/>
              <w:rPr>
                <w:rFonts w:ascii="Arial" w:hAnsi="Arial" w:cs="Arial"/>
                <w:color w:val="000000"/>
                <w:sz w:val="18"/>
                <w:szCs w:val="18"/>
              </w:rPr>
            </w:pPr>
            <w:r w:rsidRPr="00574383">
              <w:rPr>
                <w:rFonts w:ascii="Arial" w:hAnsi="Arial" w:cs="Arial"/>
                <w:color w:val="000000"/>
                <w:sz w:val="18"/>
                <w:szCs w:val="18"/>
              </w:rPr>
              <w:t>y 12 meses</w:t>
            </w:r>
          </w:p>
        </w:tc>
        <w:tc>
          <w:tcPr>
            <w:tcW w:w="1169" w:type="dxa"/>
            <w:shd w:val="clear" w:color="auto" w:fill="9CC2E5" w:themeFill="accent1" w:themeFillTint="99"/>
            <w:vAlign w:val="center"/>
            <w:hideMark/>
          </w:tcPr>
          <w:p w14:paraId="14AED148" w14:textId="77777777" w:rsidR="003E4C67" w:rsidRDefault="003E4C67" w:rsidP="004F5A39">
            <w:pPr>
              <w:jc w:val="right"/>
              <w:rPr>
                <w:rFonts w:ascii="Arial" w:hAnsi="Arial" w:cs="Arial"/>
                <w:color w:val="000000"/>
                <w:sz w:val="18"/>
                <w:szCs w:val="18"/>
              </w:rPr>
            </w:pPr>
            <w:r w:rsidRPr="00574383">
              <w:rPr>
                <w:rFonts w:ascii="Arial" w:hAnsi="Arial" w:cs="Arial"/>
                <w:color w:val="000000"/>
                <w:sz w:val="18"/>
                <w:szCs w:val="18"/>
              </w:rPr>
              <w:t>M</w:t>
            </w:r>
            <w:r>
              <w:rPr>
                <w:rFonts w:ascii="Arial" w:hAnsi="Arial" w:cs="Arial"/>
                <w:color w:val="000000"/>
                <w:sz w:val="18"/>
                <w:szCs w:val="18"/>
              </w:rPr>
              <w:t>á</w:t>
            </w:r>
            <w:r w:rsidRPr="00574383">
              <w:rPr>
                <w:rFonts w:ascii="Arial" w:hAnsi="Arial" w:cs="Arial"/>
                <w:color w:val="000000"/>
                <w:sz w:val="18"/>
                <w:szCs w:val="18"/>
              </w:rPr>
              <w:t xml:space="preserve">s de </w:t>
            </w:r>
          </w:p>
          <w:p w14:paraId="119F7B6B" w14:textId="77777777" w:rsidR="003E4C67" w:rsidRPr="00574383" w:rsidRDefault="003E4C67" w:rsidP="004F5A39">
            <w:pPr>
              <w:jc w:val="right"/>
              <w:rPr>
                <w:rFonts w:ascii="Arial" w:hAnsi="Arial" w:cs="Arial"/>
                <w:color w:val="000000"/>
                <w:sz w:val="18"/>
                <w:szCs w:val="18"/>
              </w:rPr>
            </w:pPr>
            <w:r w:rsidRPr="00574383">
              <w:rPr>
                <w:rFonts w:ascii="Arial" w:hAnsi="Arial" w:cs="Arial"/>
                <w:color w:val="000000"/>
                <w:sz w:val="18"/>
                <w:szCs w:val="18"/>
              </w:rPr>
              <w:t>12 meses</w:t>
            </w:r>
          </w:p>
        </w:tc>
      </w:tr>
      <w:tr w:rsidR="003E4C67" w:rsidRPr="009C2DD1" w14:paraId="06E09706" w14:textId="77777777" w:rsidTr="0087076C">
        <w:trPr>
          <w:trHeight w:val="284"/>
        </w:trPr>
        <w:tc>
          <w:tcPr>
            <w:tcW w:w="2952" w:type="dxa"/>
            <w:tcBorders>
              <w:bottom w:val="single" w:sz="2" w:space="0" w:color="auto"/>
            </w:tcBorders>
            <w:vAlign w:val="center"/>
            <w:hideMark/>
          </w:tcPr>
          <w:p w14:paraId="14338795" w14:textId="7F726176" w:rsidR="003E4C67" w:rsidRPr="009C2DD1" w:rsidRDefault="003E4C67" w:rsidP="003E4C67">
            <w:pPr>
              <w:rPr>
                <w:rFonts w:ascii="Arial Narrow" w:hAnsi="Arial Narrow" w:cs="Calibri"/>
                <w:color w:val="000000"/>
                <w:sz w:val="20"/>
                <w:szCs w:val="20"/>
              </w:rPr>
            </w:pPr>
            <w:r w:rsidRPr="009C2DD1">
              <w:rPr>
                <w:rFonts w:ascii="Arial Narrow" w:hAnsi="Arial Narrow" w:cs="Calibri"/>
                <w:color w:val="000000" w:themeColor="text1"/>
                <w:sz w:val="20"/>
                <w:szCs w:val="20"/>
              </w:rPr>
              <w:t xml:space="preserve">Nº </w:t>
            </w:r>
            <w:r>
              <w:rPr>
                <w:rFonts w:ascii="Arial Narrow" w:hAnsi="Arial Narrow" w:cs="Calibri"/>
                <w:color w:val="000000" w:themeColor="text1"/>
                <w:sz w:val="20"/>
                <w:szCs w:val="20"/>
              </w:rPr>
              <w:t>ocasiones</w:t>
            </w:r>
            <w:r w:rsidRPr="009C2DD1">
              <w:rPr>
                <w:rFonts w:ascii="Arial Narrow" w:hAnsi="Arial Narrow" w:cs="Calibri"/>
                <w:color w:val="000000" w:themeColor="text1"/>
                <w:sz w:val="20"/>
                <w:szCs w:val="20"/>
              </w:rPr>
              <w:t xml:space="preserve"> que</w:t>
            </w:r>
            <w:r>
              <w:rPr>
                <w:rFonts w:ascii="Arial Narrow" w:hAnsi="Arial Narrow" w:cs="Calibri"/>
                <w:color w:val="000000" w:themeColor="text1"/>
                <w:sz w:val="20"/>
                <w:szCs w:val="20"/>
              </w:rPr>
              <w:t xml:space="preserve"> se</w:t>
            </w:r>
            <w:r w:rsidRPr="009C2DD1">
              <w:rPr>
                <w:rFonts w:ascii="Arial Narrow" w:hAnsi="Arial Narrow" w:cs="Calibri"/>
                <w:color w:val="000000" w:themeColor="text1"/>
                <w:sz w:val="20"/>
                <w:szCs w:val="20"/>
              </w:rPr>
              <w:t xml:space="preserve"> retoma la RG </w:t>
            </w:r>
          </w:p>
        </w:tc>
        <w:tc>
          <w:tcPr>
            <w:tcW w:w="1168" w:type="dxa"/>
            <w:tcBorders>
              <w:bottom w:val="single" w:sz="2" w:space="0" w:color="auto"/>
            </w:tcBorders>
            <w:noWrap/>
            <w:vAlign w:val="center"/>
            <w:hideMark/>
          </w:tcPr>
          <w:p w14:paraId="17E50E30" w14:textId="77777777" w:rsidR="003E4C67" w:rsidRPr="009C2DD1" w:rsidRDefault="003E4C67" w:rsidP="004F5A39">
            <w:pPr>
              <w:jc w:val="right"/>
              <w:rPr>
                <w:rFonts w:ascii="Arial Narrow" w:hAnsi="Arial Narrow" w:cs="Calibri"/>
                <w:color w:val="000000"/>
                <w:sz w:val="20"/>
                <w:szCs w:val="20"/>
              </w:rPr>
            </w:pPr>
            <w:r w:rsidRPr="009C2DD1">
              <w:rPr>
                <w:rFonts w:ascii="Arial Narrow" w:hAnsi="Arial Narrow" w:cs="Calibri"/>
                <w:color w:val="000000"/>
                <w:sz w:val="20"/>
                <w:szCs w:val="20"/>
              </w:rPr>
              <w:t xml:space="preserve">13.112 </w:t>
            </w:r>
          </w:p>
        </w:tc>
        <w:tc>
          <w:tcPr>
            <w:tcW w:w="1168" w:type="dxa"/>
            <w:tcBorders>
              <w:bottom w:val="single" w:sz="2" w:space="0" w:color="auto"/>
            </w:tcBorders>
            <w:noWrap/>
            <w:vAlign w:val="center"/>
            <w:hideMark/>
          </w:tcPr>
          <w:p w14:paraId="495DFD9C" w14:textId="77777777" w:rsidR="003E4C67" w:rsidRPr="009C2DD1" w:rsidRDefault="003E4C67" w:rsidP="004F5A39">
            <w:pPr>
              <w:jc w:val="right"/>
              <w:rPr>
                <w:rFonts w:ascii="Arial Narrow" w:hAnsi="Arial Narrow" w:cs="Calibri"/>
                <w:color w:val="000000"/>
                <w:sz w:val="20"/>
                <w:szCs w:val="20"/>
              </w:rPr>
            </w:pPr>
            <w:r w:rsidRPr="009C2DD1">
              <w:rPr>
                <w:rFonts w:ascii="Arial Narrow" w:hAnsi="Arial Narrow" w:cs="Calibri"/>
                <w:color w:val="000000"/>
                <w:sz w:val="20"/>
                <w:szCs w:val="20"/>
              </w:rPr>
              <w:t xml:space="preserve">5.834 </w:t>
            </w:r>
          </w:p>
        </w:tc>
        <w:tc>
          <w:tcPr>
            <w:tcW w:w="1169" w:type="dxa"/>
            <w:tcBorders>
              <w:bottom w:val="single" w:sz="2" w:space="0" w:color="auto"/>
            </w:tcBorders>
            <w:noWrap/>
            <w:vAlign w:val="center"/>
            <w:hideMark/>
          </w:tcPr>
          <w:p w14:paraId="35D73006" w14:textId="77777777" w:rsidR="003E4C67" w:rsidRPr="009C2DD1" w:rsidRDefault="003E4C67" w:rsidP="004F5A39">
            <w:pPr>
              <w:jc w:val="right"/>
              <w:rPr>
                <w:rFonts w:ascii="Arial Narrow" w:hAnsi="Arial Narrow" w:cs="Calibri"/>
                <w:color w:val="000000"/>
                <w:sz w:val="20"/>
                <w:szCs w:val="20"/>
              </w:rPr>
            </w:pPr>
            <w:r w:rsidRPr="009C2DD1">
              <w:rPr>
                <w:rFonts w:ascii="Arial Narrow" w:hAnsi="Arial Narrow" w:cs="Calibri"/>
                <w:color w:val="000000"/>
                <w:sz w:val="20"/>
                <w:szCs w:val="20"/>
              </w:rPr>
              <w:t xml:space="preserve">  2.648 </w:t>
            </w:r>
          </w:p>
        </w:tc>
        <w:tc>
          <w:tcPr>
            <w:tcW w:w="1168" w:type="dxa"/>
            <w:tcBorders>
              <w:bottom w:val="single" w:sz="2" w:space="0" w:color="auto"/>
            </w:tcBorders>
            <w:noWrap/>
            <w:vAlign w:val="center"/>
            <w:hideMark/>
          </w:tcPr>
          <w:p w14:paraId="1B5A34AB" w14:textId="77777777" w:rsidR="003E4C67" w:rsidRPr="009C2DD1" w:rsidRDefault="003E4C67" w:rsidP="004F5A39">
            <w:pPr>
              <w:jc w:val="right"/>
              <w:rPr>
                <w:rFonts w:ascii="Arial Narrow" w:hAnsi="Arial Narrow" w:cs="Calibri"/>
                <w:color w:val="000000"/>
                <w:sz w:val="20"/>
                <w:szCs w:val="20"/>
              </w:rPr>
            </w:pPr>
            <w:r w:rsidRPr="009C2DD1">
              <w:rPr>
                <w:rFonts w:ascii="Arial Narrow" w:hAnsi="Arial Narrow" w:cs="Calibri"/>
                <w:color w:val="000000"/>
                <w:sz w:val="20"/>
                <w:szCs w:val="20"/>
              </w:rPr>
              <w:t xml:space="preserve">1.934 </w:t>
            </w:r>
          </w:p>
        </w:tc>
        <w:tc>
          <w:tcPr>
            <w:tcW w:w="1169" w:type="dxa"/>
            <w:tcBorders>
              <w:bottom w:val="single" w:sz="2" w:space="0" w:color="auto"/>
            </w:tcBorders>
            <w:noWrap/>
            <w:vAlign w:val="center"/>
            <w:hideMark/>
          </w:tcPr>
          <w:p w14:paraId="6EA33978" w14:textId="77777777" w:rsidR="003E4C67" w:rsidRPr="009C2DD1" w:rsidRDefault="003E4C67" w:rsidP="004F5A39">
            <w:pPr>
              <w:jc w:val="right"/>
              <w:rPr>
                <w:rFonts w:ascii="Arial Narrow" w:hAnsi="Arial Narrow" w:cs="Calibri"/>
                <w:color w:val="000000"/>
                <w:sz w:val="20"/>
                <w:szCs w:val="20"/>
              </w:rPr>
            </w:pPr>
            <w:r w:rsidRPr="009C2DD1">
              <w:rPr>
                <w:rFonts w:ascii="Arial Narrow" w:hAnsi="Arial Narrow" w:cs="Calibri"/>
                <w:color w:val="000000"/>
                <w:sz w:val="20"/>
                <w:szCs w:val="20"/>
              </w:rPr>
              <w:t xml:space="preserve">4.810 </w:t>
            </w:r>
          </w:p>
        </w:tc>
      </w:tr>
      <w:tr w:rsidR="003E4C67" w:rsidRPr="009C2DD1" w14:paraId="7E33B37B" w14:textId="77777777" w:rsidTr="0087076C">
        <w:trPr>
          <w:trHeight w:val="284"/>
        </w:trPr>
        <w:tc>
          <w:tcPr>
            <w:tcW w:w="2952" w:type="dxa"/>
            <w:tcBorders>
              <w:top w:val="single" w:sz="2" w:space="0" w:color="auto"/>
            </w:tcBorders>
            <w:vAlign w:val="center"/>
          </w:tcPr>
          <w:p w14:paraId="710E8057" w14:textId="62109D83" w:rsidR="003E4C67" w:rsidRPr="009C2DD1" w:rsidRDefault="003E4C67" w:rsidP="003E4C67">
            <w:pPr>
              <w:rPr>
                <w:rFonts w:ascii="Arial Narrow" w:hAnsi="Arial Narrow" w:cs="Calibri"/>
                <w:color w:val="000000"/>
                <w:sz w:val="20"/>
                <w:szCs w:val="20"/>
              </w:rPr>
            </w:pPr>
            <w:r w:rsidRPr="009C2DD1">
              <w:rPr>
                <w:rFonts w:ascii="Arial Narrow" w:hAnsi="Arial Narrow" w:cs="Calibri"/>
                <w:color w:val="000000" w:themeColor="text1"/>
                <w:sz w:val="20"/>
                <w:szCs w:val="20"/>
              </w:rPr>
              <w:t xml:space="preserve">% sobre total </w:t>
            </w:r>
            <w:r>
              <w:rPr>
                <w:rFonts w:ascii="Arial Narrow" w:hAnsi="Arial Narrow" w:cs="Calibri"/>
                <w:color w:val="000000" w:themeColor="text1"/>
                <w:sz w:val="20"/>
                <w:szCs w:val="20"/>
              </w:rPr>
              <w:t>ocasiones</w:t>
            </w:r>
            <w:r w:rsidRPr="009C2DD1">
              <w:rPr>
                <w:rFonts w:ascii="Arial Narrow" w:hAnsi="Arial Narrow" w:cs="Calibri"/>
                <w:color w:val="000000" w:themeColor="text1"/>
                <w:sz w:val="20"/>
                <w:szCs w:val="20"/>
              </w:rPr>
              <w:t xml:space="preserve"> que </w:t>
            </w:r>
            <w:r>
              <w:rPr>
                <w:rFonts w:ascii="Arial Narrow" w:hAnsi="Arial Narrow" w:cs="Calibri"/>
                <w:color w:val="000000" w:themeColor="text1"/>
                <w:sz w:val="20"/>
                <w:szCs w:val="20"/>
              </w:rPr>
              <w:t xml:space="preserve">se </w:t>
            </w:r>
            <w:r w:rsidRPr="009C2DD1">
              <w:rPr>
                <w:rFonts w:ascii="Arial Narrow" w:hAnsi="Arial Narrow" w:cs="Calibri"/>
                <w:color w:val="000000" w:themeColor="text1"/>
                <w:sz w:val="20"/>
                <w:szCs w:val="20"/>
              </w:rPr>
              <w:t>retoma</w:t>
            </w:r>
            <w:r>
              <w:rPr>
                <w:rFonts w:ascii="Arial Narrow" w:hAnsi="Arial Narrow" w:cs="Calibri"/>
                <w:color w:val="000000" w:themeColor="text1"/>
                <w:sz w:val="20"/>
                <w:szCs w:val="20"/>
              </w:rPr>
              <w:t xml:space="preserve"> la RG</w:t>
            </w:r>
            <w:r w:rsidRPr="009C2DD1">
              <w:rPr>
                <w:rFonts w:ascii="Arial Narrow" w:hAnsi="Arial Narrow" w:cs="Calibri"/>
                <w:color w:val="000000" w:themeColor="text1"/>
                <w:sz w:val="20"/>
                <w:szCs w:val="20"/>
              </w:rPr>
              <w:t xml:space="preserve"> </w:t>
            </w:r>
          </w:p>
        </w:tc>
        <w:tc>
          <w:tcPr>
            <w:tcW w:w="1168" w:type="dxa"/>
            <w:tcBorders>
              <w:top w:val="single" w:sz="2" w:space="0" w:color="auto"/>
            </w:tcBorders>
            <w:noWrap/>
            <w:vAlign w:val="center"/>
          </w:tcPr>
          <w:p w14:paraId="545E8E87" w14:textId="77777777" w:rsidR="003E4C67" w:rsidRPr="009C2DD1" w:rsidRDefault="003E4C67" w:rsidP="004F5A39">
            <w:pPr>
              <w:jc w:val="right"/>
              <w:rPr>
                <w:rFonts w:ascii="Arial Narrow" w:hAnsi="Arial Narrow" w:cs="Calibri"/>
                <w:color w:val="000000"/>
                <w:sz w:val="20"/>
                <w:szCs w:val="20"/>
              </w:rPr>
            </w:pPr>
            <w:r w:rsidRPr="009C2DD1">
              <w:rPr>
                <w:rFonts w:ascii="Arial Narrow" w:hAnsi="Arial Narrow" w:cs="Calibri"/>
                <w:color w:val="000000"/>
                <w:sz w:val="20"/>
                <w:szCs w:val="20"/>
              </w:rPr>
              <w:t>46</w:t>
            </w:r>
          </w:p>
        </w:tc>
        <w:tc>
          <w:tcPr>
            <w:tcW w:w="1168" w:type="dxa"/>
            <w:tcBorders>
              <w:top w:val="single" w:sz="2" w:space="0" w:color="auto"/>
            </w:tcBorders>
            <w:noWrap/>
            <w:vAlign w:val="center"/>
          </w:tcPr>
          <w:p w14:paraId="4A8EB3E0" w14:textId="77777777" w:rsidR="003E4C67" w:rsidRPr="009C2DD1" w:rsidRDefault="003E4C67" w:rsidP="004F5A39">
            <w:pPr>
              <w:jc w:val="right"/>
              <w:rPr>
                <w:rFonts w:ascii="Arial Narrow" w:hAnsi="Arial Narrow" w:cs="Calibri"/>
                <w:color w:val="000000"/>
                <w:sz w:val="20"/>
                <w:szCs w:val="20"/>
              </w:rPr>
            </w:pPr>
            <w:r w:rsidRPr="009C2DD1">
              <w:rPr>
                <w:rFonts w:ascii="Arial Narrow" w:hAnsi="Arial Narrow" w:cs="Calibri"/>
                <w:color w:val="000000"/>
                <w:sz w:val="20"/>
                <w:szCs w:val="20"/>
              </w:rPr>
              <w:t>21</w:t>
            </w:r>
          </w:p>
        </w:tc>
        <w:tc>
          <w:tcPr>
            <w:tcW w:w="1169" w:type="dxa"/>
            <w:tcBorders>
              <w:top w:val="single" w:sz="2" w:space="0" w:color="auto"/>
            </w:tcBorders>
            <w:noWrap/>
            <w:vAlign w:val="center"/>
          </w:tcPr>
          <w:p w14:paraId="5F976241" w14:textId="77777777" w:rsidR="003E4C67" w:rsidRPr="009C2DD1" w:rsidRDefault="003E4C67" w:rsidP="004F5A39">
            <w:pPr>
              <w:jc w:val="right"/>
              <w:rPr>
                <w:rFonts w:ascii="Arial Narrow" w:hAnsi="Arial Narrow" w:cs="Calibri"/>
                <w:color w:val="000000"/>
                <w:sz w:val="20"/>
                <w:szCs w:val="20"/>
              </w:rPr>
            </w:pPr>
            <w:r w:rsidRPr="009C2DD1">
              <w:rPr>
                <w:rFonts w:ascii="Arial Narrow" w:hAnsi="Arial Narrow" w:cs="Calibri"/>
                <w:color w:val="000000"/>
                <w:sz w:val="20"/>
                <w:szCs w:val="20"/>
              </w:rPr>
              <w:t>9</w:t>
            </w:r>
          </w:p>
        </w:tc>
        <w:tc>
          <w:tcPr>
            <w:tcW w:w="1168" w:type="dxa"/>
            <w:tcBorders>
              <w:top w:val="single" w:sz="2" w:space="0" w:color="auto"/>
            </w:tcBorders>
            <w:noWrap/>
            <w:vAlign w:val="center"/>
          </w:tcPr>
          <w:p w14:paraId="4DA13533" w14:textId="77777777" w:rsidR="003E4C67" w:rsidRPr="009C2DD1" w:rsidRDefault="003E4C67" w:rsidP="004F5A39">
            <w:pPr>
              <w:jc w:val="right"/>
              <w:rPr>
                <w:rFonts w:ascii="Arial Narrow" w:hAnsi="Arial Narrow" w:cs="Calibri"/>
                <w:color w:val="000000"/>
                <w:sz w:val="20"/>
                <w:szCs w:val="20"/>
              </w:rPr>
            </w:pPr>
            <w:r w:rsidRPr="009C2DD1">
              <w:rPr>
                <w:rFonts w:ascii="Arial Narrow" w:hAnsi="Arial Narrow" w:cs="Calibri"/>
                <w:color w:val="000000"/>
                <w:sz w:val="20"/>
                <w:szCs w:val="20"/>
              </w:rPr>
              <w:t>7</w:t>
            </w:r>
          </w:p>
        </w:tc>
        <w:tc>
          <w:tcPr>
            <w:tcW w:w="1169" w:type="dxa"/>
            <w:tcBorders>
              <w:top w:val="single" w:sz="2" w:space="0" w:color="auto"/>
            </w:tcBorders>
            <w:noWrap/>
            <w:vAlign w:val="center"/>
          </w:tcPr>
          <w:p w14:paraId="3C82BA59" w14:textId="77777777" w:rsidR="003E4C67" w:rsidRPr="009C2DD1" w:rsidRDefault="003E4C67" w:rsidP="004F5A39">
            <w:pPr>
              <w:jc w:val="right"/>
              <w:rPr>
                <w:rFonts w:ascii="Arial Narrow" w:hAnsi="Arial Narrow" w:cs="Calibri"/>
                <w:color w:val="000000"/>
                <w:sz w:val="20"/>
                <w:szCs w:val="20"/>
              </w:rPr>
            </w:pPr>
            <w:r w:rsidRPr="009C2DD1">
              <w:rPr>
                <w:rFonts w:ascii="Arial Narrow" w:hAnsi="Arial Narrow" w:cs="Calibri"/>
                <w:color w:val="000000"/>
                <w:sz w:val="20"/>
                <w:szCs w:val="20"/>
              </w:rPr>
              <w:t>17</w:t>
            </w:r>
          </w:p>
        </w:tc>
      </w:tr>
    </w:tbl>
    <w:p w14:paraId="0D33DDF9" w14:textId="2D2103A1" w:rsidR="003E4C67" w:rsidRDefault="003E4C67" w:rsidP="00623FB3">
      <w:pPr>
        <w:pStyle w:val="texto"/>
        <w:spacing w:before="240" w:after="240"/>
        <w:jc w:val="both"/>
      </w:pPr>
      <w:r w:rsidRPr="003E4C67">
        <w:t xml:space="preserve">De estas 21.563 personas, 2.228 lo hacen por acceder a un trabajo y </w:t>
      </w:r>
      <w:r>
        <w:t xml:space="preserve">la retoman en los </w:t>
      </w:r>
      <w:r w:rsidRPr="00A215EC">
        <w:rPr>
          <w:lang w:val="es-ES_tradnl"/>
        </w:rPr>
        <w:t>siguientes</w:t>
      </w:r>
      <w:r>
        <w:t xml:space="preserve"> intervalos temporales:</w:t>
      </w:r>
    </w:p>
    <w:tbl>
      <w:tblPr>
        <w:tblW w:w="8789" w:type="dxa"/>
        <w:tblInd w:w="-5"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641"/>
        <w:gridCol w:w="2049"/>
        <w:gridCol w:w="2049"/>
        <w:gridCol w:w="2050"/>
      </w:tblGrid>
      <w:tr w:rsidR="003E4C67" w:rsidRPr="00574383" w14:paraId="6B83D553" w14:textId="77777777" w:rsidTr="0087076C">
        <w:trPr>
          <w:trHeight w:val="255"/>
        </w:trPr>
        <w:tc>
          <w:tcPr>
            <w:tcW w:w="2557" w:type="dxa"/>
            <w:tcBorders>
              <w:bottom w:val="single" w:sz="4" w:space="0" w:color="auto"/>
            </w:tcBorders>
            <w:shd w:val="clear" w:color="auto" w:fill="9CC2E5" w:themeFill="accent1" w:themeFillTint="99"/>
            <w:noWrap/>
            <w:vAlign w:val="bottom"/>
            <w:hideMark/>
          </w:tcPr>
          <w:p w14:paraId="2B75A816" w14:textId="77777777" w:rsidR="003E4C67" w:rsidRPr="00574383" w:rsidRDefault="003E4C67" w:rsidP="004F5A39">
            <w:pPr>
              <w:rPr>
                <w:rFonts w:ascii="Arial" w:hAnsi="Arial" w:cs="Arial"/>
                <w:color w:val="000000"/>
                <w:sz w:val="18"/>
                <w:szCs w:val="18"/>
              </w:rPr>
            </w:pPr>
            <w:r w:rsidRPr="00574383">
              <w:rPr>
                <w:rFonts w:ascii="Arial" w:hAnsi="Arial" w:cs="Arial"/>
                <w:color w:val="000000"/>
                <w:sz w:val="18"/>
                <w:szCs w:val="18"/>
              </w:rPr>
              <w:t> </w:t>
            </w:r>
          </w:p>
        </w:tc>
        <w:tc>
          <w:tcPr>
            <w:tcW w:w="1984" w:type="dxa"/>
            <w:tcBorders>
              <w:bottom w:val="single" w:sz="4" w:space="0" w:color="auto"/>
            </w:tcBorders>
            <w:shd w:val="clear" w:color="auto" w:fill="9CC2E5" w:themeFill="accent1" w:themeFillTint="99"/>
            <w:vAlign w:val="center"/>
            <w:hideMark/>
          </w:tcPr>
          <w:p w14:paraId="250EAE4F" w14:textId="2B93FFAF" w:rsidR="003E4C67" w:rsidRPr="00574383" w:rsidRDefault="003E4C67" w:rsidP="003E4C67">
            <w:pPr>
              <w:jc w:val="right"/>
              <w:rPr>
                <w:rFonts w:ascii="Arial" w:hAnsi="Arial" w:cs="Arial"/>
                <w:color w:val="000000"/>
                <w:sz w:val="18"/>
                <w:szCs w:val="18"/>
              </w:rPr>
            </w:pPr>
            <w:r>
              <w:rPr>
                <w:rFonts w:ascii="Arial" w:hAnsi="Arial" w:cs="Arial"/>
                <w:color w:val="000000"/>
                <w:sz w:val="18"/>
                <w:szCs w:val="18"/>
              </w:rPr>
              <w:t>Menos tres</w:t>
            </w:r>
            <w:r w:rsidRPr="00574383">
              <w:rPr>
                <w:rFonts w:ascii="Arial" w:hAnsi="Arial" w:cs="Arial"/>
                <w:color w:val="000000"/>
                <w:sz w:val="18"/>
                <w:szCs w:val="18"/>
              </w:rPr>
              <w:t xml:space="preserve"> meses</w:t>
            </w:r>
          </w:p>
        </w:tc>
        <w:tc>
          <w:tcPr>
            <w:tcW w:w="1984" w:type="dxa"/>
            <w:tcBorders>
              <w:bottom w:val="single" w:sz="4" w:space="0" w:color="auto"/>
            </w:tcBorders>
            <w:shd w:val="clear" w:color="auto" w:fill="9CC2E5" w:themeFill="accent1" w:themeFillTint="99"/>
            <w:vAlign w:val="center"/>
            <w:hideMark/>
          </w:tcPr>
          <w:p w14:paraId="3F41DBAD" w14:textId="39772871" w:rsidR="003E4C67" w:rsidRPr="00574383" w:rsidRDefault="003E4C67" w:rsidP="004F5A39">
            <w:pPr>
              <w:jc w:val="right"/>
              <w:rPr>
                <w:rFonts w:ascii="Arial" w:hAnsi="Arial" w:cs="Arial"/>
                <w:color w:val="000000"/>
                <w:sz w:val="18"/>
                <w:szCs w:val="18"/>
              </w:rPr>
            </w:pPr>
            <w:r w:rsidRPr="00574383">
              <w:rPr>
                <w:rFonts w:ascii="Arial" w:hAnsi="Arial" w:cs="Arial"/>
                <w:color w:val="000000"/>
                <w:sz w:val="18"/>
                <w:szCs w:val="18"/>
              </w:rPr>
              <w:t xml:space="preserve">Entre </w:t>
            </w:r>
            <w:r>
              <w:rPr>
                <w:rFonts w:ascii="Arial" w:hAnsi="Arial" w:cs="Arial"/>
                <w:color w:val="000000"/>
                <w:sz w:val="18"/>
                <w:szCs w:val="18"/>
              </w:rPr>
              <w:t xml:space="preserve">tres y seis </w:t>
            </w:r>
            <w:r w:rsidRPr="00574383">
              <w:rPr>
                <w:rFonts w:ascii="Arial" w:hAnsi="Arial" w:cs="Arial"/>
                <w:color w:val="000000"/>
                <w:sz w:val="18"/>
                <w:szCs w:val="18"/>
              </w:rPr>
              <w:t>meses</w:t>
            </w:r>
          </w:p>
        </w:tc>
        <w:tc>
          <w:tcPr>
            <w:tcW w:w="1985" w:type="dxa"/>
            <w:tcBorders>
              <w:bottom w:val="single" w:sz="4" w:space="0" w:color="auto"/>
            </w:tcBorders>
            <w:shd w:val="clear" w:color="auto" w:fill="9CC2E5" w:themeFill="accent1" w:themeFillTint="99"/>
            <w:vAlign w:val="center"/>
            <w:hideMark/>
          </w:tcPr>
          <w:p w14:paraId="5C95408E" w14:textId="09C28C47" w:rsidR="003E4C67" w:rsidRPr="00574383" w:rsidRDefault="003E4C67" w:rsidP="004F5A39">
            <w:pPr>
              <w:jc w:val="right"/>
              <w:rPr>
                <w:rFonts w:ascii="Arial" w:hAnsi="Arial" w:cs="Arial"/>
                <w:color w:val="000000"/>
                <w:sz w:val="18"/>
                <w:szCs w:val="18"/>
              </w:rPr>
            </w:pPr>
            <w:r>
              <w:rPr>
                <w:rFonts w:ascii="Arial" w:hAnsi="Arial" w:cs="Arial"/>
                <w:color w:val="000000"/>
                <w:sz w:val="18"/>
                <w:szCs w:val="18"/>
              </w:rPr>
              <w:t>Más de seis meses</w:t>
            </w:r>
          </w:p>
        </w:tc>
      </w:tr>
      <w:tr w:rsidR="003E4C67" w:rsidRPr="009C2DD1" w14:paraId="5AC6E897" w14:textId="77777777" w:rsidTr="0087076C">
        <w:trPr>
          <w:trHeight w:val="198"/>
        </w:trPr>
        <w:tc>
          <w:tcPr>
            <w:tcW w:w="2557" w:type="dxa"/>
            <w:tcBorders>
              <w:bottom w:val="single" w:sz="4" w:space="0" w:color="auto"/>
            </w:tcBorders>
            <w:vAlign w:val="center"/>
            <w:hideMark/>
          </w:tcPr>
          <w:p w14:paraId="3B9BBAE0" w14:textId="1C36E0B5" w:rsidR="003E4C67" w:rsidRPr="009C2DD1" w:rsidRDefault="003E4C67" w:rsidP="003E4C67">
            <w:pPr>
              <w:rPr>
                <w:rFonts w:ascii="Arial Narrow" w:hAnsi="Arial Narrow" w:cs="Calibri"/>
                <w:color w:val="000000"/>
                <w:sz w:val="20"/>
                <w:szCs w:val="20"/>
              </w:rPr>
            </w:pPr>
            <w:r w:rsidRPr="009C2DD1">
              <w:rPr>
                <w:rFonts w:ascii="Arial Narrow" w:hAnsi="Arial Narrow" w:cs="Calibri"/>
                <w:color w:val="000000" w:themeColor="text1"/>
                <w:sz w:val="20"/>
                <w:szCs w:val="20"/>
              </w:rPr>
              <w:t xml:space="preserve">Nº </w:t>
            </w:r>
            <w:r>
              <w:rPr>
                <w:rFonts w:ascii="Arial Narrow" w:hAnsi="Arial Narrow" w:cs="Calibri"/>
                <w:color w:val="000000" w:themeColor="text1"/>
                <w:sz w:val="20"/>
                <w:szCs w:val="20"/>
              </w:rPr>
              <w:t>personas</w:t>
            </w:r>
            <w:r w:rsidRPr="009C2DD1">
              <w:rPr>
                <w:rFonts w:ascii="Arial Narrow" w:hAnsi="Arial Narrow" w:cs="Calibri"/>
                <w:color w:val="000000" w:themeColor="text1"/>
                <w:sz w:val="20"/>
                <w:szCs w:val="20"/>
              </w:rPr>
              <w:t xml:space="preserve"> que</w:t>
            </w:r>
            <w:r>
              <w:rPr>
                <w:rFonts w:ascii="Arial Narrow" w:hAnsi="Arial Narrow" w:cs="Calibri"/>
                <w:color w:val="000000" w:themeColor="text1"/>
                <w:sz w:val="20"/>
                <w:szCs w:val="20"/>
              </w:rPr>
              <w:t xml:space="preserve"> </w:t>
            </w:r>
            <w:r w:rsidRPr="009C2DD1">
              <w:rPr>
                <w:rFonts w:ascii="Arial Narrow" w:hAnsi="Arial Narrow" w:cs="Calibri"/>
                <w:color w:val="000000" w:themeColor="text1"/>
                <w:sz w:val="20"/>
                <w:szCs w:val="20"/>
              </w:rPr>
              <w:t>retoma</w:t>
            </w:r>
            <w:r>
              <w:rPr>
                <w:rFonts w:ascii="Arial Narrow" w:hAnsi="Arial Narrow" w:cs="Calibri"/>
                <w:color w:val="000000" w:themeColor="text1"/>
                <w:sz w:val="20"/>
                <w:szCs w:val="20"/>
              </w:rPr>
              <w:t>n</w:t>
            </w:r>
            <w:r w:rsidRPr="009C2DD1">
              <w:rPr>
                <w:rFonts w:ascii="Arial Narrow" w:hAnsi="Arial Narrow" w:cs="Calibri"/>
                <w:color w:val="000000" w:themeColor="text1"/>
                <w:sz w:val="20"/>
                <w:szCs w:val="20"/>
              </w:rPr>
              <w:t xml:space="preserve"> la RG </w:t>
            </w:r>
          </w:p>
        </w:tc>
        <w:tc>
          <w:tcPr>
            <w:tcW w:w="1984" w:type="dxa"/>
            <w:tcBorders>
              <w:bottom w:val="single" w:sz="4" w:space="0" w:color="auto"/>
            </w:tcBorders>
            <w:noWrap/>
            <w:vAlign w:val="center"/>
            <w:hideMark/>
          </w:tcPr>
          <w:p w14:paraId="605D089A" w14:textId="400239D2" w:rsidR="003E4C67" w:rsidRPr="009C2DD1" w:rsidRDefault="003E4C67" w:rsidP="004F5A39">
            <w:pPr>
              <w:jc w:val="right"/>
              <w:rPr>
                <w:rFonts w:ascii="Arial Narrow" w:hAnsi="Arial Narrow" w:cs="Calibri"/>
                <w:color w:val="000000"/>
                <w:sz w:val="20"/>
                <w:szCs w:val="20"/>
              </w:rPr>
            </w:pPr>
            <w:r>
              <w:rPr>
                <w:rFonts w:ascii="Arial Narrow" w:hAnsi="Arial Narrow" w:cs="Calibri"/>
                <w:color w:val="000000"/>
                <w:sz w:val="20"/>
                <w:szCs w:val="20"/>
              </w:rPr>
              <w:t>481</w:t>
            </w:r>
            <w:r w:rsidRPr="009C2DD1">
              <w:rPr>
                <w:rFonts w:ascii="Arial Narrow" w:hAnsi="Arial Narrow" w:cs="Calibri"/>
                <w:color w:val="000000"/>
                <w:sz w:val="20"/>
                <w:szCs w:val="20"/>
              </w:rPr>
              <w:t xml:space="preserve"> </w:t>
            </w:r>
          </w:p>
        </w:tc>
        <w:tc>
          <w:tcPr>
            <w:tcW w:w="1984" w:type="dxa"/>
            <w:tcBorders>
              <w:bottom w:val="single" w:sz="4" w:space="0" w:color="auto"/>
            </w:tcBorders>
            <w:noWrap/>
            <w:vAlign w:val="center"/>
            <w:hideMark/>
          </w:tcPr>
          <w:p w14:paraId="6C1FE4FE" w14:textId="2282E2E7" w:rsidR="003E4C67" w:rsidRPr="009C2DD1" w:rsidRDefault="003E4C67" w:rsidP="004F5A39">
            <w:pPr>
              <w:jc w:val="right"/>
              <w:rPr>
                <w:rFonts w:ascii="Arial Narrow" w:hAnsi="Arial Narrow" w:cs="Calibri"/>
                <w:color w:val="000000"/>
                <w:sz w:val="20"/>
                <w:szCs w:val="20"/>
              </w:rPr>
            </w:pPr>
            <w:r>
              <w:rPr>
                <w:rFonts w:ascii="Arial Narrow" w:hAnsi="Arial Narrow" w:cs="Calibri"/>
                <w:color w:val="000000"/>
                <w:sz w:val="20"/>
                <w:szCs w:val="20"/>
              </w:rPr>
              <w:t>295</w:t>
            </w:r>
            <w:r w:rsidRPr="009C2DD1">
              <w:rPr>
                <w:rFonts w:ascii="Arial Narrow" w:hAnsi="Arial Narrow" w:cs="Calibri"/>
                <w:color w:val="000000"/>
                <w:sz w:val="20"/>
                <w:szCs w:val="20"/>
              </w:rPr>
              <w:t xml:space="preserve"> </w:t>
            </w:r>
          </w:p>
        </w:tc>
        <w:tc>
          <w:tcPr>
            <w:tcW w:w="1985" w:type="dxa"/>
            <w:tcBorders>
              <w:bottom w:val="single" w:sz="4" w:space="0" w:color="auto"/>
            </w:tcBorders>
            <w:noWrap/>
            <w:vAlign w:val="center"/>
            <w:hideMark/>
          </w:tcPr>
          <w:p w14:paraId="1EA0D771" w14:textId="37F66048" w:rsidR="003E4C67" w:rsidRPr="009C2DD1" w:rsidRDefault="003E4C67" w:rsidP="003E4C67">
            <w:pPr>
              <w:jc w:val="right"/>
              <w:rPr>
                <w:rFonts w:ascii="Arial Narrow" w:hAnsi="Arial Narrow" w:cs="Calibri"/>
                <w:color w:val="000000"/>
                <w:sz w:val="20"/>
                <w:szCs w:val="20"/>
              </w:rPr>
            </w:pPr>
            <w:r w:rsidRPr="009C2DD1">
              <w:rPr>
                <w:rFonts w:ascii="Arial Narrow" w:hAnsi="Arial Narrow" w:cs="Calibri"/>
                <w:color w:val="000000"/>
                <w:sz w:val="20"/>
                <w:szCs w:val="20"/>
              </w:rPr>
              <w:t xml:space="preserve">  </w:t>
            </w:r>
            <w:r>
              <w:rPr>
                <w:rFonts w:ascii="Arial Narrow" w:hAnsi="Arial Narrow" w:cs="Calibri"/>
                <w:color w:val="000000"/>
                <w:sz w:val="20"/>
                <w:szCs w:val="20"/>
              </w:rPr>
              <w:t>1.452</w:t>
            </w:r>
            <w:r w:rsidRPr="009C2DD1">
              <w:rPr>
                <w:rFonts w:ascii="Arial Narrow" w:hAnsi="Arial Narrow" w:cs="Calibri"/>
                <w:color w:val="000000"/>
                <w:sz w:val="20"/>
                <w:szCs w:val="20"/>
              </w:rPr>
              <w:t xml:space="preserve"> </w:t>
            </w:r>
          </w:p>
        </w:tc>
      </w:tr>
    </w:tbl>
    <w:p w14:paraId="7BF850CC" w14:textId="289DD1C4" w:rsidR="00FE1F21" w:rsidRDefault="62A9032F" w:rsidP="00F12DC1">
      <w:pPr>
        <w:pStyle w:val="texto"/>
        <w:keepNext/>
        <w:numPr>
          <w:ilvl w:val="0"/>
          <w:numId w:val="5"/>
        </w:numPr>
        <w:tabs>
          <w:tab w:val="clear" w:pos="2835"/>
          <w:tab w:val="clear" w:pos="3969"/>
          <w:tab w:val="clear" w:pos="5103"/>
          <w:tab w:val="clear" w:pos="6237"/>
          <w:tab w:val="clear" w:pos="7371"/>
          <w:tab w:val="num" w:pos="300"/>
          <w:tab w:val="left" w:pos="480"/>
          <w:tab w:val="num" w:pos="600"/>
        </w:tabs>
        <w:spacing w:before="240" w:after="140"/>
        <w:ind w:left="0" w:firstLine="289"/>
        <w:jc w:val="both"/>
      </w:pPr>
      <w:r>
        <w:t xml:space="preserve">Número de personas que acceden a un trabajo siendo perceptoras de RG y </w:t>
      </w:r>
      <w:r w:rsidR="6AD5D836">
        <w:t xml:space="preserve">no han vuelto a </w:t>
      </w:r>
      <w:r w:rsidR="4A8C83E3">
        <w:t>cobrarla al menos hasta 1 de enero de 2024</w:t>
      </w:r>
      <w:r w:rsidR="003E4C67">
        <w:t>:</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80"/>
        <w:gridCol w:w="1161"/>
        <w:gridCol w:w="1162"/>
        <w:gridCol w:w="1162"/>
        <w:gridCol w:w="1162"/>
        <w:gridCol w:w="1162"/>
      </w:tblGrid>
      <w:tr w:rsidR="008F7CB4" w:rsidRPr="00A66CB9" w14:paraId="1E8378C0" w14:textId="77777777" w:rsidTr="0087076C">
        <w:trPr>
          <w:trHeight w:val="255"/>
        </w:trPr>
        <w:tc>
          <w:tcPr>
            <w:tcW w:w="2980" w:type="dxa"/>
            <w:shd w:val="clear" w:color="auto" w:fill="9CC2E5" w:themeFill="accent1" w:themeFillTint="99"/>
            <w:noWrap/>
            <w:vAlign w:val="center"/>
          </w:tcPr>
          <w:p w14:paraId="2363BB59" w14:textId="77777777" w:rsidR="008F7CB4" w:rsidRPr="003E4C67" w:rsidRDefault="008F7CB4" w:rsidP="004F5A39">
            <w:pPr>
              <w:rPr>
                <w:rFonts w:ascii="Arial" w:hAnsi="Arial" w:cs="Arial"/>
                <w:bCs/>
                <w:color w:val="000000"/>
                <w:sz w:val="18"/>
                <w:szCs w:val="18"/>
              </w:rPr>
            </w:pPr>
          </w:p>
        </w:tc>
        <w:tc>
          <w:tcPr>
            <w:tcW w:w="1161" w:type="dxa"/>
            <w:shd w:val="clear" w:color="auto" w:fill="9CC2E5" w:themeFill="accent1" w:themeFillTint="99"/>
            <w:noWrap/>
            <w:vAlign w:val="center"/>
            <w:hideMark/>
          </w:tcPr>
          <w:p w14:paraId="44170A57" w14:textId="77777777" w:rsidR="008F7CB4" w:rsidRPr="003E4C67" w:rsidRDefault="008F7CB4" w:rsidP="003E4C67">
            <w:pPr>
              <w:jc w:val="right"/>
              <w:rPr>
                <w:rFonts w:ascii="Arial" w:hAnsi="Arial" w:cs="Arial"/>
                <w:bCs/>
                <w:color w:val="000000"/>
                <w:sz w:val="18"/>
                <w:szCs w:val="18"/>
              </w:rPr>
            </w:pPr>
            <w:r w:rsidRPr="003E4C67">
              <w:rPr>
                <w:rFonts w:ascii="Arial" w:hAnsi="Arial" w:cs="Arial"/>
                <w:bCs/>
                <w:color w:val="000000"/>
                <w:sz w:val="18"/>
                <w:szCs w:val="18"/>
              </w:rPr>
              <w:t>2019</w:t>
            </w:r>
          </w:p>
        </w:tc>
        <w:tc>
          <w:tcPr>
            <w:tcW w:w="1162" w:type="dxa"/>
            <w:shd w:val="clear" w:color="auto" w:fill="9CC2E5" w:themeFill="accent1" w:themeFillTint="99"/>
            <w:noWrap/>
            <w:vAlign w:val="center"/>
            <w:hideMark/>
          </w:tcPr>
          <w:p w14:paraId="42F4909C" w14:textId="77777777" w:rsidR="008F7CB4" w:rsidRPr="003E4C67" w:rsidRDefault="008F7CB4" w:rsidP="003E4C67">
            <w:pPr>
              <w:jc w:val="right"/>
              <w:rPr>
                <w:rFonts w:ascii="Arial" w:hAnsi="Arial" w:cs="Arial"/>
                <w:bCs/>
                <w:color w:val="000000"/>
                <w:sz w:val="18"/>
                <w:szCs w:val="18"/>
              </w:rPr>
            </w:pPr>
            <w:r w:rsidRPr="003E4C67">
              <w:rPr>
                <w:rFonts w:ascii="Arial" w:hAnsi="Arial" w:cs="Arial"/>
                <w:bCs/>
                <w:color w:val="000000"/>
                <w:sz w:val="18"/>
                <w:szCs w:val="18"/>
              </w:rPr>
              <w:t>2020</w:t>
            </w:r>
          </w:p>
        </w:tc>
        <w:tc>
          <w:tcPr>
            <w:tcW w:w="1162" w:type="dxa"/>
            <w:shd w:val="clear" w:color="auto" w:fill="9CC2E5" w:themeFill="accent1" w:themeFillTint="99"/>
            <w:noWrap/>
            <w:vAlign w:val="center"/>
            <w:hideMark/>
          </w:tcPr>
          <w:p w14:paraId="3B5C84D1" w14:textId="77777777" w:rsidR="008F7CB4" w:rsidRPr="003E4C67" w:rsidRDefault="008F7CB4" w:rsidP="003E4C67">
            <w:pPr>
              <w:jc w:val="right"/>
              <w:rPr>
                <w:rFonts w:ascii="Arial" w:hAnsi="Arial" w:cs="Arial"/>
                <w:bCs/>
                <w:color w:val="000000"/>
                <w:sz w:val="18"/>
                <w:szCs w:val="18"/>
              </w:rPr>
            </w:pPr>
            <w:r w:rsidRPr="003E4C67">
              <w:rPr>
                <w:rFonts w:ascii="Arial" w:hAnsi="Arial" w:cs="Arial"/>
                <w:bCs/>
                <w:color w:val="000000"/>
                <w:sz w:val="18"/>
                <w:szCs w:val="18"/>
              </w:rPr>
              <w:t>2021</w:t>
            </w:r>
          </w:p>
        </w:tc>
        <w:tc>
          <w:tcPr>
            <w:tcW w:w="1162" w:type="dxa"/>
            <w:shd w:val="clear" w:color="auto" w:fill="9CC2E5" w:themeFill="accent1" w:themeFillTint="99"/>
            <w:noWrap/>
            <w:vAlign w:val="center"/>
            <w:hideMark/>
          </w:tcPr>
          <w:p w14:paraId="67601F17" w14:textId="77777777" w:rsidR="008F7CB4" w:rsidRPr="003E4C67" w:rsidRDefault="008F7CB4" w:rsidP="003E4C67">
            <w:pPr>
              <w:jc w:val="right"/>
              <w:rPr>
                <w:rFonts w:ascii="Arial" w:hAnsi="Arial" w:cs="Arial"/>
                <w:bCs/>
                <w:color w:val="000000"/>
                <w:sz w:val="18"/>
                <w:szCs w:val="18"/>
              </w:rPr>
            </w:pPr>
            <w:r w:rsidRPr="003E4C67">
              <w:rPr>
                <w:rFonts w:ascii="Arial" w:hAnsi="Arial" w:cs="Arial"/>
                <w:bCs/>
                <w:color w:val="000000"/>
                <w:sz w:val="18"/>
                <w:szCs w:val="18"/>
              </w:rPr>
              <w:t>2022</w:t>
            </w:r>
          </w:p>
        </w:tc>
        <w:tc>
          <w:tcPr>
            <w:tcW w:w="1162" w:type="dxa"/>
            <w:shd w:val="clear" w:color="auto" w:fill="9CC2E5" w:themeFill="accent1" w:themeFillTint="99"/>
            <w:noWrap/>
            <w:vAlign w:val="center"/>
            <w:hideMark/>
          </w:tcPr>
          <w:p w14:paraId="6D959509" w14:textId="77777777" w:rsidR="008F7CB4" w:rsidRPr="00A66CB9" w:rsidRDefault="008F7CB4" w:rsidP="003E4C67">
            <w:pPr>
              <w:jc w:val="right"/>
              <w:rPr>
                <w:rFonts w:ascii="Arial" w:hAnsi="Arial" w:cs="Arial"/>
                <w:bCs/>
                <w:color w:val="000000"/>
                <w:sz w:val="18"/>
                <w:szCs w:val="18"/>
              </w:rPr>
            </w:pPr>
            <w:r w:rsidRPr="003E4C67">
              <w:rPr>
                <w:rFonts w:ascii="Arial" w:hAnsi="Arial" w:cs="Arial"/>
                <w:bCs/>
                <w:color w:val="000000"/>
                <w:sz w:val="18"/>
                <w:szCs w:val="18"/>
              </w:rPr>
              <w:t>2023</w:t>
            </w:r>
          </w:p>
        </w:tc>
      </w:tr>
      <w:tr w:rsidR="003E4C67" w:rsidRPr="00A66CB9" w14:paraId="063424B5" w14:textId="77777777" w:rsidTr="0087076C">
        <w:trPr>
          <w:trHeight w:val="198"/>
        </w:trPr>
        <w:tc>
          <w:tcPr>
            <w:tcW w:w="2980" w:type="dxa"/>
            <w:shd w:val="clear" w:color="auto" w:fill="auto"/>
            <w:noWrap/>
            <w:vAlign w:val="center"/>
          </w:tcPr>
          <w:p w14:paraId="4EBC6164" w14:textId="0FC545D6" w:rsidR="003E4C67" w:rsidRPr="003E4C67" w:rsidRDefault="003E4C67" w:rsidP="003E4C67">
            <w:pPr>
              <w:rPr>
                <w:rFonts w:ascii="Arial" w:hAnsi="Arial" w:cs="Arial"/>
                <w:bCs/>
                <w:color w:val="000000"/>
                <w:sz w:val="18"/>
                <w:szCs w:val="18"/>
              </w:rPr>
            </w:pPr>
            <w:r>
              <w:rPr>
                <w:rFonts w:ascii="Arial Narrow" w:hAnsi="Arial Narrow" w:cs="Calibri"/>
                <w:color w:val="000000"/>
                <w:sz w:val="20"/>
                <w:szCs w:val="20"/>
              </w:rPr>
              <w:t xml:space="preserve">Nº personas </w:t>
            </w:r>
          </w:p>
        </w:tc>
        <w:tc>
          <w:tcPr>
            <w:tcW w:w="1161" w:type="dxa"/>
            <w:shd w:val="clear" w:color="auto" w:fill="auto"/>
            <w:noWrap/>
            <w:vAlign w:val="center"/>
          </w:tcPr>
          <w:p w14:paraId="2BF118DD" w14:textId="5F0511F5" w:rsidR="003E4C67" w:rsidRPr="003E4C67" w:rsidRDefault="003E4C67" w:rsidP="003E4C67">
            <w:pPr>
              <w:jc w:val="right"/>
              <w:rPr>
                <w:rFonts w:ascii="Arial" w:hAnsi="Arial" w:cs="Arial"/>
                <w:bCs/>
                <w:color w:val="000000"/>
                <w:sz w:val="18"/>
                <w:szCs w:val="18"/>
              </w:rPr>
            </w:pPr>
            <w:r>
              <w:rPr>
                <w:rFonts w:ascii="Arial Narrow" w:hAnsi="Arial Narrow" w:cs="Calibri"/>
                <w:color w:val="000000"/>
                <w:sz w:val="20"/>
                <w:szCs w:val="20"/>
              </w:rPr>
              <w:t>236</w:t>
            </w:r>
          </w:p>
        </w:tc>
        <w:tc>
          <w:tcPr>
            <w:tcW w:w="1162" w:type="dxa"/>
            <w:shd w:val="clear" w:color="auto" w:fill="auto"/>
            <w:noWrap/>
            <w:vAlign w:val="center"/>
          </w:tcPr>
          <w:p w14:paraId="5B53A076" w14:textId="608ECD94" w:rsidR="003E4C67" w:rsidRPr="003E4C67" w:rsidRDefault="003E4C67" w:rsidP="003E4C67">
            <w:pPr>
              <w:jc w:val="right"/>
              <w:rPr>
                <w:rFonts w:ascii="Arial" w:hAnsi="Arial" w:cs="Arial"/>
                <w:bCs/>
                <w:color w:val="000000"/>
                <w:sz w:val="18"/>
                <w:szCs w:val="18"/>
              </w:rPr>
            </w:pPr>
            <w:r>
              <w:rPr>
                <w:rFonts w:ascii="Arial Narrow" w:hAnsi="Arial Narrow" w:cs="Calibri"/>
                <w:color w:val="000000"/>
                <w:sz w:val="20"/>
                <w:szCs w:val="20"/>
              </w:rPr>
              <w:t>437</w:t>
            </w:r>
          </w:p>
        </w:tc>
        <w:tc>
          <w:tcPr>
            <w:tcW w:w="1162" w:type="dxa"/>
            <w:shd w:val="clear" w:color="auto" w:fill="auto"/>
            <w:noWrap/>
            <w:vAlign w:val="center"/>
          </w:tcPr>
          <w:p w14:paraId="323FC854" w14:textId="61717DFB" w:rsidR="003E4C67" w:rsidRPr="003E4C67" w:rsidRDefault="003E4C67" w:rsidP="003E4C67">
            <w:pPr>
              <w:jc w:val="right"/>
              <w:rPr>
                <w:rFonts w:ascii="Arial" w:hAnsi="Arial" w:cs="Arial"/>
                <w:bCs/>
                <w:color w:val="000000"/>
                <w:sz w:val="18"/>
                <w:szCs w:val="18"/>
              </w:rPr>
            </w:pPr>
            <w:r>
              <w:rPr>
                <w:rFonts w:ascii="Arial Narrow" w:hAnsi="Arial Narrow" w:cs="Calibri"/>
                <w:color w:val="000000"/>
                <w:sz w:val="20"/>
                <w:szCs w:val="20"/>
              </w:rPr>
              <w:t>906</w:t>
            </w:r>
          </w:p>
        </w:tc>
        <w:tc>
          <w:tcPr>
            <w:tcW w:w="1162" w:type="dxa"/>
            <w:shd w:val="clear" w:color="auto" w:fill="auto"/>
            <w:noWrap/>
            <w:vAlign w:val="center"/>
          </w:tcPr>
          <w:p w14:paraId="53F502D9" w14:textId="59FAF081" w:rsidR="003E4C67" w:rsidRPr="003E4C67" w:rsidRDefault="003E4C67" w:rsidP="003E4C67">
            <w:pPr>
              <w:jc w:val="right"/>
              <w:rPr>
                <w:rFonts w:ascii="Arial" w:hAnsi="Arial" w:cs="Arial"/>
                <w:bCs/>
                <w:color w:val="000000"/>
                <w:sz w:val="18"/>
                <w:szCs w:val="18"/>
              </w:rPr>
            </w:pPr>
            <w:r>
              <w:rPr>
                <w:rFonts w:ascii="Arial Narrow" w:hAnsi="Arial Narrow" w:cs="Calibri"/>
                <w:color w:val="000000"/>
                <w:sz w:val="20"/>
                <w:szCs w:val="20"/>
              </w:rPr>
              <w:t>1.101</w:t>
            </w:r>
          </w:p>
        </w:tc>
        <w:tc>
          <w:tcPr>
            <w:tcW w:w="1162" w:type="dxa"/>
            <w:shd w:val="clear" w:color="auto" w:fill="auto"/>
            <w:noWrap/>
            <w:vAlign w:val="center"/>
          </w:tcPr>
          <w:p w14:paraId="797B31D8" w14:textId="0AE97B67" w:rsidR="003E4C67" w:rsidRPr="003E4C67" w:rsidRDefault="003E4C67" w:rsidP="003E4C67">
            <w:pPr>
              <w:jc w:val="right"/>
              <w:rPr>
                <w:rFonts w:ascii="Arial" w:hAnsi="Arial" w:cs="Arial"/>
                <w:bCs/>
                <w:color w:val="000000"/>
                <w:sz w:val="18"/>
                <w:szCs w:val="18"/>
              </w:rPr>
            </w:pPr>
            <w:r>
              <w:rPr>
                <w:rFonts w:ascii="Arial Narrow" w:hAnsi="Arial Narrow" w:cs="Calibri"/>
                <w:color w:val="000000"/>
                <w:sz w:val="20"/>
                <w:szCs w:val="20"/>
              </w:rPr>
              <w:t>993</w:t>
            </w:r>
          </w:p>
        </w:tc>
      </w:tr>
      <w:tr w:rsidR="003E4C67" w:rsidRPr="0049147F" w14:paraId="7C0D68C3" w14:textId="77777777" w:rsidTr="0087076C">
        <w:trPr>
          <w:trHeight w:val="288"/>
        </w:trPr>
        <w:tc>
          <w:tcPr>
            <w:tcW w:w="8789" w:type="dxa"/>
            <w:gridSpan w:val="6"/>
            <w:tcBorders>
              <w:bottom w:val="nil"/>
            </w:tcBorders>
            <w:shd w:val="clear" w:color="auto" w:fill="auto"/>
            <w:noWrap/>
            <w:vAlign w:val="center"/>
          </w:tcPr>
          <w:p w14:paraId="62533FC8" w14:textId="77777777" w:rsidR="003E4C67" w:rsidRPr="0049147F" w:rsidRDefault="003E4C67" w:rsidP="005B0DC1">
            <w:pPr>
              <w:spacing w:before="60"/>
              <w:jc w:val="both"/>
              <w:rPr>
                <w:rFonts w:ascii="Arial Narrow" w:hAnsi="Arial Narrow" w:cs="Calibri"/>
                <w:color w:val="000000"/>
                <w:sz w:val="16"/>
                <w:szCs w:val="16"/>
              </w:rPr>
            </w:pPr>
            <w:r w:rsidRPr="0049147F">
              <w:rPr>
                <w:rFonts w:ascii="Arial Narrow" w:hAnsi="Arial Narrow" w:cs="Calibri"/>
                <w:color w:val="000000"/>
                <w:sz w:val="16"/>
                <w:szCs w:val="16"/>
              </w:rPr>
              <w:t>*Hemos considerado únicamente los contratos previos a diciembre de 2023 por la disponibilidad de datos, con lo que faltarían por incluir las personas que acceden a algún trabajo en diciembre de 2023 y dejan de percibir RG.</w:t>
            </w:r>
          </w:p>
        </w:tc>
      </w:tr>
    </w:tbl>
    <w:p w14:paraId="01C60C72" w14:textId="5500A62A" w:rsidR="003E4C67" w:rsidRDefault="006E4B07" w:rsidP="005B0DC1">
      <w:pPr>
        <w:pStyle w:val="texto"/>
        <w:spacing w:before="240" w:after="140"/>
        <w:jc w:val="both"/>
        <w:rPr>
          <w:szCs w:val="26"/>
        </w:rPr>
      </w:pPr>
      <w:r>
        <w:rPr>
          <w:szCs w:val="26"/>
        </w:rPr>
        <w:t xml:space="preserve">En el periodo </w:t>
      </w:r>
      <w:r w:rsidRPr="00A215EC">
        <w:rPr>
          <w:lang w:val="es-ES_tradnl"/>
        </w:rPr>
        <w:t>analizado</w:t>
      </w:r>
      <w:r>
        <w:rPr>
          <w:szCs w:val="26"/>
        </w:rPr>
        <w:t xml:space="preserve"> un total de 3.673 personas accedieron a un trabajo y dejaron de percibir la RG al menos hasta el 1 de enero de 2024. </w:t>
      </w:r>
      <w:r w:rsidR="003E4C67">
        <w:rPr>
          <w:szCs w:val="26"/>
        </w:rPr>
        <w:t xml:space="preserve">Las unidades familiares de estas 3.673 personas estaban formadas por 8.296 personas, cifra que supone el 13 por ciento de las personas beneficiarias de la RG. </w:t>
      </w:r>
    </w:p>
    <w:p w14:paraId="798F25CF" w14:textId="77777777" w:rsidR="00390B6F" w:rsidRDefault="00390B6F">
      <w:pPr>
        <w:spacing w:after="160" w:line="259" w:lineRule="auto"/>
        <w:rPr>
          <w:rFonts w:ascii="Arial" w:hAnsi="Arial"/>
          <w:bCs/>
          <w:iCs/>
          <w:color w:val="000000"/>
          <w:spacing w:val="10"/>
          <w:kern w:val="28"/>
          <w:sz w:val="25"/>
          <w:szCs w:val="26"/>
        </w:rPr>
      </w:pPr>
      <w:r>
        <w:br w:type="page"/>
      </w:r>
    </w:p>
    <w:p w14:paraId="116C6AB2" w14:textId="1377E4BF" w:rsidR="00253604" w:rsidRDefault="67D01966" w:rsidP="005B0DC1">
      <w:pPr>
        <w:pStyle w:val="atitulo2"/>
        <w:spacing w:before="240"/>
        <w:jc w:val="both"/>
      </w:pPr>
      <w:bookmarkStart w:id="19" w:name="_Toc187821049"/>
      <w:r>
        <w:lastRenderedPageBreak/>
        <w:t>2.</w:t>
      </w:r>
      <w:r w:rsidR="00EB22B9">
        <w:t>4.</w:t>
      </w:r>
      <w:r>
        <w:t xml:space="preserve"> Seguimiento de recomendaciones del informe de esta Cámara de abril de 2019 </w:t>
      </w:r>
      <w:r w:rsidRPr="005B0DC1">
        <w:t>sobre</w:t>
      </w:r>
      <w:r>
        <w:t xml:space="preserve"> renta garantizada e inclusión social</w:t>
      </w:r>
      <w:bookmarkEnd w:id="19"/>
    </w:p>
    <w:p w14:paraId="3DD625F4" w14:textId="5CDDE429" w:rsidR="00FE1F21" w:rsidRPr="00253604" w:rsidRDefault="00FE1F21" w:rsidP="005B0DC1">
      <w:pPr>
        <w:pStyle w:val="texto"/>
        <w:spacing w:after="240"/>
        <w:jc w:val="both"/>
        <w:rPr>
          <w:szCs w:val="26"/>
        </w:rPr>
      </w:pPr>
      <w:r>
        <w:rPr>
          <w:szCs w:val="26"/>
        </w:rPr>
        <w:t xml:space="preserve">La Cámara de </w:t>
      </w:r>
      <w:r w:rsidRPr="00A215EC">
        <w:rPr>
          <w:lang w:val="es-ES_tradnl"/>
        </w:rPr>
        <w:t>Comptos</w:t>
      </w:r>
      <w:r>
        <w:rPr>
          <w:szCs w:val="26"/>
        </w:rPr>
        <w:t xml:space="preserve"> emitió un informe en abril de 2019 sobre la gestión de la RG e inclusión social en el periodo 2016-2018 que contenía 12 recomendaciones. H</w:t>
      </w:r>
      <w:r w:rsidRPr="00253604">
        <w:rPr>
          <w:szCs w:val="26"/>
        </w:rPr>
        <w:t>emos calificado el grado de cumplimiento de cada recomendación según los siguientes criterios:</w:t>
      </w:r>
      <w:r w:rsidR="001468DE">
        <w:rPr>
          <w:szCs w:val="26"/>
        </w:rPr>
        <w:t xml:space="preserve"> </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2050"/>
        <w:gridCol w:w="6739"/>
      </w:tblGrid>
      <w:tr w:rsidR="00FE1F21" w14:paraId="74F9080A" w14:textId="77777777" w:rsidTr="005B0DC1">
        <w:trPr>
          <w:trHeight w:val="255"/>
        </w:trPr>
        <w:tc>
          <w:tcPr>
            <w:tcW w:w="1984" w:type="dxa"/>
            <w:shd w:val="clear" w:color="auto" w:fill="9CC2E5" w:themeFill="accent1" w:themeFillTint="99"/>
            <w:vAlign w:val="center"/>
          </w:tcPr>
          <w:p w14:paraId="105C5DE3" w14:textId="77777777" w:rsidR="00FE1F21" w:rsidRPr="00D55FC9" w:rsidRDefault="00FE1F21" w:rsidP="00A4007F">
            <w:pPr>
              <w:pStyle w:val="cuadroCabe"/>
            </w:pPr>
            <w:r w:rsidRPr="00D55FC9">
              <w:t>Categoría</w:t>
            </w:r>
          </w:p>
        </w:tc>
        <w:tc>
          <w:tcPr>
            <w:tcW w:w="6521" w:type="dxa"/>
            <w:shd w:val="clear" w:color="auto" w:fill="9CC2E5" w:themeFill="accent1" w:themeFillTint="99"/>
            <w:vAlign w:val="center"/>
          </w:tcPr>
          <w:p w14:paraId="1260A2CB" w14:textId="43FBBD1A" w:rsidR="00FE1F21" w:rsidRPr="00D55FC9" w:rsidRDefault="00FE1F21" w:rsidP="005B0DC1">
            <w:pPr>
              <w:pStyle w:val="cuadroCabe"/>
            </w:pPr>
            <w:r w:rsidRPr="00D55FC9">
              <w:t>Descripción</w:t>
            </w:r>
          </w:p>
        </w:tc>
      </w:tr>
      <w:tr w:rsidR="00FE1F21" w:rsidRPr="00826DEE" w14:paraId="7BC09734" w14:textId="77777777" w:rsidTr="005B0DC1">
        <w:trPr>
          <w:trHeight w:val="198"/>
        </w:trPr>
        <w:tc>
          <w:tcPr>
            <w:tcW w:w="1984" w:type="dxa"/>
            <w:tcBorders>
              <w:bottom w:val="single" w:sz="2" w:space="0" w:color="auto"/>
            </w:tcBorders>
            <w:vAlign w:val="center"/>
          </w:tcPr>
          <w:p w14:paraId="00EB2A08" w14:textId="77777777" w:rsidR="00FE1F21" w:rsidRPr="0072577B" w:rsidRDefault="62A9032F" w:rsidP="5D8B6717">
            <w:pPr>
              <w:pStyle w:val="cuatexto"/>
              <w:jc w:val="left"/>
              <w:rPr>
                <w:rFonts w:ascii="Arial Narrow" w:hAnsi="Arial Narrow"/>
                <w:lang w:val="es-ES"/>
              </w:rPr>
            </w:pPr>
            <w:r w:rsidRPr="5D8B6717">
              <w:rPr>
                <w:rFonts w:ascii="Arial Narrow" w:hAnsi="Arial Narrow"/>
                <w:lang w:val="es-ES"/>
              </w:rPr>
              <w:t>Total o sustancialmente aplicada</w:t>
            </w:r>
          </w:p>
        </w:tc>
        <w:tc>
          <w:tcPr>
            <w:tcW w:w="6521" w:type="dxa"/>
            <w:tcBorders>
              <w:bottom w:val="single" w:sz="2" w:space="0" w:color="auto"/>
            </w:tcBorders>
            <w:vAlign w:val="center"/>
          </w:tcPr>
          <w:p w14:paraId="3B5B6EEF" w14:textId="77777777" w:rsidR="00FE1F21" w:rsidRPr="0072577B" w:rsidRDefault="00FE1F21" w:rsidP="005B0DC1">
            <w:pPr>
              <w:pStyle w:val="cuatexto"/>
              <w:rPr>
                <w:rFonts w:ascii="Arial Narrow" w:hAnsi="Arial Narrow"/>
              </w:rPr>
            </w:pPr>
            <w:r w:rsidRPr="0072577B">
              <w:rPr>
                <w:rFonts w:ascii="Arial Narrow" w:hAnsi="Arial Narrow"/>
              </w:rPr>
              <w:t>Si se han adoptado las medidas correctoras, razonables y proporcionadas, habiendo obtenido evidencia suficiente de ello, que permitan considerar que la recomendación ha surtido sus efectos y no ha quedado pendiente de resolución ninguna cuestión de importancia significativa.</w:t>
            </w:r>
          </w:p>
        </w:tc>
      </w:tr>
      <w:tr w:rsidR="00FE1F21" w:rsidRPr="00826DEE" w14:paraId="7FD03B9C" w14:textId="77777777" w:rsidTr="005B0DC1">
        <w:trPr>
          <w:trHeight w:val="198"/>
        </w:trPr>
        <w:tc>
          <w:tcPr>
            <w:tcW w:w="1984" w:type="dxa"/>
            <w:tcBorders>
              <w:top w:val="single" w:sz="2" w:space="0" w:color="auto"/>
              <w:bottom w:val="single" w:sz="2" w:space="0" w:color="auto"/>
            </w:tcBorders>
            <w:vAlign w:val="center"/>
          </w:tcPr>
          <w:p w14:paraId="689DC5CE" w14:textId="77777777" w:rsidR="00FE1F21" w:rsidRPr="0072577B" w:rsidRDefault="00FE1F21" w:rsidP="00A4007F">
            <w:pPr>
              <w:pStyle w:val="cuatexto"/>
              <w:jc w:val="left"/>
              <w:rPr>
                <w:rFonts w:ascii="Arial Narrow" w:hAnsi="Arial Narrow"/>
              </w:rPr>
            </w:pPr>
            <w:r w:rsidRPr="0072577B">
              <w:rPr>
                <w:rFonts w:ascii="Arial Narrow" w:hAnsi="Arial Narrow"/>
              </w:rPr>
              <w:t xml:space="preserve">Aplicada </w:t>
            </w:r>
          </w:p>
          <w:p w14:paraId="019804BB" w14:textId="77777777" w:rsidR="00FE1F21" w:rsidRPr="0072577B" w:rsidRDefault="00FE1F21" w:rsidP="00A4007F">
            <w:pPr>
              <w:pStyle w:val="cuatexto"/>
              <w:jc w:val="left"/>
              <w:rPr>
                <w:rFonts w:ascii="Arial Narrow" w:hAnsi="Arial Narrow"/>
              </w:rPr>
            </w:pPr>
            <w:r w:rsidRPr="0072577B">
              <w:rPr>
                <w:rFonts w:ascii="Arial Narrow" w:hAnsi="Arial Narrow"/>
              </w:rPr>
              <w:t>parcialmente</w:t>
            </w:r>
          </w:p>
        </w:tc>
        <w:tc>
          <w:tcPr>
            <w:tcW w:w="6521" w:type="dxa"/>
            <w:tcBorders>
              <w:top w:val="single" w:sz="2" w:space="0" w:color="auto"/>
              <w:bottom w:val="single" w:sz="2" w:space="0" w:color="auto"/>
            </w:tcBorders>
            <w:vAlign w:val="center"/>
          </w:tcPr>
          <w:p w14:paraId="42658D83" w14:textId="77777777" w:rsidR="00FE1F21" w:rsidRPr="0072577B" w:rsidRDefault="00FE1F21" w:rsidP="005B0DC1">
            <w:pPr>
              <w:pStyle w:val="cuatexto"/>
              <w:rPr>
                <w:rFonts w:ascii="Arial Narrow" w:hAnsi="Arial Narrow"/>
              </w:rPr>
            </w:pPr>
            <w:r w:rsidRPr="0072577B">
              <w:rPr>
                <w:rFonts w:ascii="Arial Narrow" w:hAnsi="Arial Narrow"/>
              </w:rPr>
              <w:t>Si se han tomado en consideración la recomendación se han realizado actuaciones encaminadas a corregir las deficiencias, debilidades o insuficiencias, pero solamente en un estado incipiente, en una parte de ellas o en algún aspecto, lo que no permite considerar que la recomendación se haya cumplido razonablemente.</w:t>
            </w:r>
          </w:p>
        </w:tc>
      </w:tr>
      <w:tr w:rsidR="00FE1F21" w:rsidRPr="00826DEE" w14:paraId="4ECF9F9D" w14:textId="77777777" w:rsidTr="005B0DC1">
        <w:trPr>
          <w:trHeight w:val="198"/>
        </w:trPr>
        <w:tc>
          <w:tcPr>
            <w:tcW w:w="1984" w:type="dxa"/>
            <w:tcBorders>
              <w:top w:val="single" w:sz="2" w:space="0" w:color="auto"/>
              <w:bottom w:val="single" w:sz="2" w:space="0" w:color="auto"/>
            </w:tcBorders>
            <w:vAlign w:val="center"/>
          </w:tcPr>
          <w:p w14:paraId="5E6F01E2" w14:textId="77777777" w:rsidR="00FE1F21" w:rsidRPr="0072577B" w:rsidRDefault="00FE1F21" w:rsidP="00A4007F">
            <w:pPr>
              <w:pStyle w:val="cuatexto"/>
              <w:jc w:val="left"/>
              <w:rPr>
                <w:rFonts w:ascii="Arial Narrow" w:hAnsi="Arial Narrow"/>
              </w:rPr>
            </w:pPr>
            <w:r w:rsidRPr="0072577B">
              <w:rPr>
                <w:rFonts w:ascii="Arial Narrow" w:hAnsi="Arial Narrow"/>
              </w:rPr>
              <w:t>No aplicada</w:t>
            </w:r>
          </w:p>
        </w:tc>
        <w:tc>
          <w:tcPr>
            <w:tcW w:w="6521" w:type="dxa"/>
            <w:tcBorders>
              <w:top w:val="single" w:sz="2" w:space="0" w:color="auto"/>
              <w:bottom w:val="single" w:sz="2" w:space="0" w:color="auto"/>
            </w:tcBorders>
            <w:vAlign w:val="center"/>
          </w:tcPr>
          <w:p w14:paraId="7BF21D5F" w14:textId="77777777" w:rsidR="00FE1F21" w:rsidRPr="0072577B" w:rsidRDefault="62A9032F" w:rsidP="005B0DC1">
            <w:pPr>
              <w:pStyle w:val="cuatexto"/>
              <w:rPr>
                <w:rFonts w:ascii="Arial Narrow" w:hAnsi="Arial Narrow"/>
                <w:lang w:val="es-ES"/>
              </w:rPr>
            </w:pPr>
            <w:r w:rsidRPr="5D8B6717">
              <w:rPr>
                <w:rFonts w:ascii="Arial Narrow" w:hAnsi="Arial Narrow"/>
                <w:lang w:val="es-ES"/>
              </w:rPr>
              <w:t>Si no se han realizado las actuaciones encaminadas a corregir las deficiencias, debilidades o insuficiencias o bien se han hecho insuficientemente o inadecuadamente de forma que la recomendación sigue sin aplicarse.</w:t>
            </w:r>
          </w:p>
        </w:tc>
      </w:tr>
      <w:tr w:rsidR="00FE1F21" w:rsidRPr="00826DEE" w14:paraId="51CFDAE3" w14:textId="77777777" w:rsidTr="005B0DC1">
        <w:trPr>
          <w:trHeight w:val="198"/>
        </w:trPr>
        <w:tc>
          <w:tcPr>
            <w:tcW w:w="1984" w:type="dxa"/>
            <w:tcBorders>
              <w:top w:val="single" w:sz="2" w:space="0" w:color="auto"/>
              <w:bottom w:val="single" w:sz="2" w:space="0" w:color="auto"/>
            </w:tcBorders>
            <w:vAlign w:val="center"/>
          </w:tcPr>
          <w:p w14:paraId="50B09BDE" w14:textId="77777777" w:rsidR="00FE1F21" w:rsidRPr="0072577B" w:rsidRDefault="00FE1F21" w:rsidP="00A4007F">
            <w:pPr>
              <w:pStyle w:val="cuatexto"/>
              <w:jc w:val="left"/>
              <w:rPr>
                <w:rFonts w:ascii="Arial Narrow" w:hAnsi="Arial Narrow"/>
              </w:rPr>
            </w:pPr>
            <w:r w:rsidRPr="0072577B">
              <w:rPr>
                <w:rFonts w:ascii="Arial Narrow" w:hAnsi="Arial Narrow"/>
              </w:rPr>
              <w:t xml:space="preserve">Sin validez en el </w:t>
            </w:r>
          </w:p>
          <w:p w14:paraId="1B7DDB09" w14:textId="77777777" w:rsidR="00FE1F21" w:rsidRPr="0072577B" w:rsidRDefault="00FE1F21" w:rsidP="00A4007F">
            <w:pPr>
              <w:pStyle w:val="cuatexto"/>
              <w:jc w:val="left"/>
              <w:rPr>
                <w:rFonts w:ascii="Arial Narrow" w:hAnsi="Arial Narrow"/>
              </w:rPr>
            </w:pPr>
            <w:r w:rsidRPr="0072577B">
              <w:rPr>
                <w:rFonts w:ascii="Arial Narrow" w:hAnsi="Arial Narrow"/>
              </w:rPr>
              <w:t>marco actual</w:t>
            </w:r>
          </w:p>
        </w:tc>
        <w:tc>
          <w:tcPr>
            <w:tcW w:w="6521" w:type="dxa"/>
            <w:tcBorders>
              <w:top w:val="single" w:sz="2" w:space="0" w:color="auto"/>
              <w:bottom w:val="single" w:sz="2" w:space="0" w:color="auto"/>
            </w:tcBorders>
            <w:vAlign w:val="center"/>
          </w:tcPr>
          <w:p w14:paraId="437FCA94" w14:textId="77777777" w:rsidR="00FE1F21" w:rsidRPr="0072577B" w:rsidRDefault="62A9032F" w:rsidP="005B0DC1">
            <w:pPr>
              <w:pStyle w:val="cuatexto"/>
              <w:rPr>
                <w:rFonts w:ascii="Arial Narrow" w:hAnsi="Arial Narrow"/>
                <w:lang w:val="es-ES"/>
              </w:rPr>
            </w:pPr>
            <w:r w:rsidRPr="5D8B6717">
              <w:rPr>
                <w:rFonts w:ascii="Arial Narrow" w:hAnsi="Arial Narrow"/>
                <w:lang w:val="es-ES"/>
              </w:rPr>
              <w:t>Aquella recomendación que era válida y pertinente cuando se emitió el informe pero no puede aplicarse en el contexto actual al no darse las circunstancias que lo permitan o la misma casuística del momento de emisión del informe.</w:t>
            </w:r>
          </w:p>
        </w:tc>
      </w:tr>
      <w:tr w:rsidR="00FE1F21" w:rsidRPr="00826DEE" w14:paraId="2BF0D193" w14:textId="77777777" w:rsidTr="005B0DC1">
        <w:trPr>
          <w:trHeight w:val="198"/>
        </w:trPr>
        <w:tc>
          <w:tcPr>
            <w:tcW w:w="1984" w:type="dxa"/>
            <w:tcBorders>
              <w:top w:val="single" w:sz="2" w:space="0" w:color="auto"/>
            </w:tcBorders>
            <w:vAlign w:val="center"/>
          </w:tcPr>
          <w:p w14:paraId="20D0E449" w14:textId="77777777" w:rsidR="00FE1F21" w:rsidRPr="0072577B" w:rsidRDefault="00FE1F21" w:rsidP="00A4007F">
            <w:pPr>
              <w:pStyle w:val="cuatexto"/>
              <w:jc w:val="left"/>
              <w:rPr>
                <w:rFonts w:ascii="Arial Narrow" w:hAnsi="Arial Narrow"/>
              </w:rPr>
            </w:pPr>
            <w:r w:rsidRPr="0072577B">
              <w:rPr>
                <w:rFonts w:ascii="Arial Narrow" w:hAnsi="Arial Narrow"/>
              </w:rPr>
              <w:t>No verificada</w:t>
            </w:r>
          </w:p>
        </w:tc>
        <w:tc>
          <w:tcPr>
            <w:tcW w:w="6521" w:type="dxa"/>
            <w:tcBorders>
              <w:top w:val="single" w:sz="2" w:space="0" w:color="auto"/>
            </w:tcBorders>
            <w:vAlign w:val="center"/>
          </w:tcPr>
          <w:p w14:paraId="70B1C023" w14:textId="2B92740D" w:rsidR="00FE1F21" w:rsidRPr="0072577B" w:rsidRDefault="00FE1F21" w:rsidP="005B0DC1">
            <w:pPr>
              <w:pStyle w:val="cuatexto"/>
              <w:rPr>
                <w:rFonts w:ascii="Arial Narrow" w:hAnsi="Arial Narrow"/>
              </w:rPr>
            </w:pPr>
            <w:r w:rsidRPr="0072577B">
              <w:rPr>
                <w:rFonts w:ascii="Arial Narrow" w:hAnsi="Arial Narrow"/>
              </w:rPr>
              <w:t>Aquella recomendación que, aunque haya sido aplicada por el ente, necesitaría de pruebas adicionales para contrastar lo expuesto.</w:t>
            </w:r>
          </w:p>
        </w:tc>
      </w:tr>
    </w:tbl>
    <w:p w14:paraId="27ABAFF8" w14:textId="77777777" w:rsidR="00FE1F21" w:rsidRPr="000E2F86" w:rsidRDefault="00FE1F21" w:rsidP="005B0DC1">
      <w:pPr>
        <w:pStyle w:val="texto"/>
        <w:spacing w:before="240" w:after="140"/>
        <w:jc w:val="both"/>
        <w:rPr>
          <w:szCs w:val="26"/>
        </w:rPr>
      </w:pPr>
      <w:r>
        <w:rPr>
          <w:szCs w:val="26"/>
        </w:rPr>
        <w:t xml:space="preserve">A continuación, mostramos los resultados obtenidos para cada </w:t>
      </w:r>
      <w:r w:rsidRPr="005B0DC1">
        <w:rPr>
          <w:i/>
          <w:szCs w:val="26"/>
        </w:rPr>
        <w:t>recomendación</w:t>
      </w:r>
      <w:r>
        <w:rPr>
          <w:szCs w:val="26"/>
        </w:rPr>
        <w:t>:</w:t>
      </w:r>
    </w:p>
    <w:p w14:paraId="5E4095F7" w14:textId="77777777" w:rsidR="00FE1F21"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szCs w:val="26"/>
        </w:rPr>
      </w:pPr>
      <w:r w:rsidRPr="00547F60">
        <w:rPr>
          <w:i/>
          <w:szCs w:val="26"/>
        </w:rPr>
        <w:t xml:space="preserve">Tramitar todos los expedientes de renta garantizada a través de la aplicación </w:t>
      </w:r>
      <w:r w:rsidRPr="000C5B0B">
        <w:rPr>
          <w:rFonts w:eastAsia="Calibri"/>
          <w:i/>
          <w:iCs/>
          <w:szCs w:val="26"/>
        </w:rPr>
        <w:t>informática</w:t>
      </w:r>
      <w:r w:rsidRPr="00547F60">
        <w:rPr>
          <w:i/>
          <w:szCs w:val="26"/>
        </w:rPr>
        <w:t xml:space="preserve"> TRAMITA.</w:t>
      </w:r>
    </w:p>
    <w:p w14:paraId="70A37D73" w14:textId="13F337CF" w:rsidR="00A4549F" w:rsidRDefault="62A9032F" w:rsidP="00297CB2">
      <w:pPr>
        <w:pStyle w:val="texto"/>
        <w:tabs>
          <w:tab w:val="clear" w:pos="2835"/>
          <w:tab w:val="clear" w:pos="3969"/>
          <w:tab w:val="clear" w:pos="5103"/>
          <w:tab w:val="clear" w:pos="6237"/>
          <w:tab w:val="clear" w:pos="7371"/>
        </w:tabs>
        <w:spacing w:after="140"/>
        <w:ind w:firstLine="289"/>
        <w:jc w:val="both"/>
      </w:pPr>
      <w:r>
        <w:t xml:space="preserve">Esta </w:t>
      </w:r>
      <w:r w:rsidRPr="00297CB2">
        <w:rPr>
          <w:rFonts w:eastAsia="Calibri"/>
          <w:iCs/>
        </w:rPr>
        <w:t>recomendación</w:t>
      </w:r>
      <w:r>
        <w:t xml:space="preserve"> ha sido totalmente aplicada tramitándose todos los expedientes a </w:t>
      </w:r>
      <w:r w:rsidRPr="3896A6D9">
        <w:t>través</w:t>
      </w:r>
      <w:r>
        <w:t xml:space="preserve"> de TRAMITA</w:t>
      </w:r>
      <w:r w:rsidR="00B246C5">
        <w:t>.</w:t>
      </w:r>
    </w:p>
    <w:p w14:paraId="5F80BC4F" w14:textId="77777777" w:rsidR="004346B5" w:rsidRPr="004346B5" w:rsidRDefault="00E5335C" w:rsidP="004346B5">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pPr>
      <w:r w:rsidRPr="00F10978">
        <w:rPr>
          <w:rFonts w:eastAsia="Calibri"/>
          <w:i/>
          <w:iCs/>
          <w:szCs w:val="26"/>
        </w:rPr>
        <w:t>Que los Servicios Sociales de Base cumplimenten adecuadamente toda la documentación exigida en la normativa para acreditar el cumplimiento de los requisitos</w:t>
      </w:r>
      <w:r w:rsidR="00F10978" w:rsidRPr="00F10978">
        <w:rPr>
          <w:rFonts w:eastAsia="Calibri"/>
          <w:i/>
          <w:iCs/>
          <w:szCs w:val="26"/>
        </w:rPr>
        <w:t xml:space="preserve"> de la renta ga</w:t>
      </w:r>
      <w:r w:rsidRPr="00F10978">
        <w:rPr>
          <w:rFonts w:eastAsia="Calibri"/>
          <w:i/>
          <w:iCs/>
          <w:szCs w:val="26"/>
        </w:rPr>
        <w:t xml:space="preserve">rantizada y, de esa manera, agilizar la tramitación de ese derecho. </w:t>
      </w:r>
    </w:p>
    <w:p w14:paraId="26B92AC5" w14:textId="4F21F437" w:rsidR="009E43FD" w:rsidRDefault="004346B5" w:rsidP="004346B5">
      <w:pPr>
        <w:pStyle w:val="texto"/>
        <w:tabs>
          <w:tab w:val="clear" w:pos="2835"/>
          <w:tab w:val="clear" w:pos="3969"/>
          <w:tab w:val="clear" w:pos="5103"/>
          <w:tab w:val="clear" w:pos="6237"/>
          <w:tab w:val="clear" w:pos="7371"/>
          <w:tab w:val="left" w:pos="284"/>
        </w:tabs>
        <w:spacing w:after="140"/>
        <w:ind w:firstLine="0"/>
        <w:jc w:val="both"/>
      </w:pPr>
      <w:r>
        <w:rPr>
          <w:rFonts w:eastAsia="Calibri"/>
          <w:i/>
          <w:iCs/>
          <w:szCs w:val="26"/>
        </w:rPr>
        <w:tab/>
      </w:r>
      <w:r w:rsidR="00FE1F21">
        <w:t xml:space="preserve">Esta recomendación ha sido sustancialmente aplicada y la mayoría de los expedientes </w:t>
      </w:r>
      <w:r w:rsidR="645C1DD6">
        <w:t>están</w:t>
      </w:r>
      <w:r w:rsidR="00FE1F21">
        <w:t xml:space="preserve"> cumplimentados adecuadamente</w:t>
      </w:r>
      <w:r w:rsidR="00F10978">
        <w:t xml:space="preserve">. En el resto de casos, el departamento solicita a los servicios de base la documentación que falta. </w:t>
      </w:r>
      <w:r w:rsidR="00FE1F21">
        <w:t xml:space="preserve"> </w:t>
      </w:r>
    </w:p>
    <w:p w14:paraId="33F2BC02" w14:textId="77777777" w:rsidR="00FE1F21" w:rsidRPr="00141996"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i/>
          <w:color w:val="000000"/>
          <w:kern w:val="28"/>
        </w:rPr>
      </w:pPr>
      <w:r w:rsidRPr="00547F60">
        <w:rPr>
          <w:i/>
          <w:szCs w:val="26"/>
        </w:rPr>
        <w:t xml:space="preserve">Dejar constancia de los controles realizados en los expedientes de solicitud, renovación y modificación de las ayudas por </w:t>
      </w:r>
      <w:r>
        <w:rPr>
          <w:i/>
          <w:szCs w:val="26"/>
        </w:rPr>
        <w:t>renta garantizada</w:t>
      </w:r>
      <w:r w:rsidRPr="00547F60">
        <w:rPr>
          <w:i/>
          <w:szCs w:val="26"/>
        </w:rPr>
        <w:t xml:space="preserve"> para comprobaciones posteriores de los cambios efectuados. </w:t>
      </w:r>
    </w:p>
    <w:p w14:paraId="28002280" w14:textId="77777777" w:rsidR="00FE1F21" w:rsidRPr="005D3280" w:rsidRDefault="00FE1F21" w:rsidP="00A215EC">
      <w:pPr>
        <w:pStyle w:val="texto"/>
        <w:spacing w:after="140"/>
        <w:jc w:val="both"/>
        <w:rPr>
          <w:szCs w:val="26"/>
        </w:rPr>
      </w:pPr>
      <w:r w:rsidRPr="005D3280">
        <w:rPr>
          <w:szCs w:val="26"/>
        </w:rPr>
        <w:t xml:space="preserve">Esta recomendación ha sido </w:t>
      </w:r>
      <w:r>
        <w:rPr>
          <w:szCs w:val="26"/>
        </w:rPr>
        <w:t xml:space="preserve">totalmente aplicada constando el soporte de los controles </w:t>
      </w:r>
      <w:r w:rsidRPr="00A215EC">
        <w:rPr>
          <w:lang w:val="es-ES_tradnl"/>
        </w:rPr>
        <w:t>realizados</w:t>
      </w:r>
      <w:r>
        <w:rPr>
          <w:szCs w:val="26"/>
        </w:rPr>
        <w:t>.</w:t>
      </w:r>
    </w:p>
    <w:p w14:paraId="3B30E5F1" w14:textId="77777777" w:rsidR="00FE1F21" w:rsidRPr="00141996"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i/>
          <w:color w:val="000000"/>
          <w:kern w:val="28"/>
        </w:rPr>
      </w:pPr>
      <w:r w:rsidRPr="00547F60">
        <w:rPr>
          <w:i/>
          <w:szCs w:val="26"/>
        </w:rPr>
        <w:t xml:space="preserve">Constatar el inicio de un proceso personalizado de inclusión social para todas las </w:t>
      </w:r>
      <w:r w:rsidRPr="000C5B0B">
        <w:rPr>
          <w:rFonts w:eastAsia="Calibri"/>
          <w:i/>
          <w:iCs/>
          <w:szCs w:val="26"/>
        </w:rPr>
        <w:t>renovaciones</w:t>
      </w:r>
      <w:r w:rsidRPr="00547F60">
        <w:rPr>
          <w:i/>
          <w:szCs w:val="26"/>
        </w:rPr>
        <w:t xml:space="preserve"> de </w:t>
      </w:r>
      <w:r>
        <w:rPr>
          <w:i/>
          <w:szCs w:val="26"/>
        </w:rPr>
        <w:t>renta garantizada</w:t>
      </w:r>
      <w:r w:rsidRPr="00547F60">
        <w:rPr>
          <w:i/>
          <w:szCs w:val="26"/>
        </w:rPr>
        <w:t xml:space="preserve"> tras un año ininterrumpido de cobro </w:t>
      </w:r>
      <w:r w:rsidRPr="00547F60">
        <w:rPr>
          <w:i/>
          <w:szCs w:val="26"/>
        </w:rPr>
        <w:lastRenderedPageBreak/>
        <w:t xml:space="preserve">de la prestación y los recursos ofertados de participación en programas de empleo y/o formación a los beneficiarios de </w:t>
      </w:r>
      <w:r>
        <w:rPr>
          <w:i/>
          <w:szCs w:val="26"/>
        </w:rPr>
        <w:t>garantizada</w:t>
      </w:r>
      <w:r w:rsidRPr="00547F60">
        <w:rPr>
          <w:i/>
          <w:szCs w:val="26"/>
        </w:rPr>
        <w:t xml:space="preserve"> tras un periodo continuo de al menos 24 meses de percepción.</w:t>
      </w:r>
    </w:p>
    <w:p w14:paraId="4538B0A9" w14:textId="42A10604" w:rsidR="00EC2AE3" w:rsidRDefault="128AF6C3" w:rsidP="00A215EC">
      <w:pPr>
        <w:pStyle w:val="texto"/>
        <w:spacing w:after="140"/>
        <w:jc w:val="both"/>
      </w:pPr>
      <w:r>
        <w:t>Esta recomendación está aplicada parcialmente, ya que</w:t>
      </w:r>
      <w:r w:rsidR="006F34B3">
        <w:t xml:space="preserve"> hemos constatado el inicio de un proceso </w:t>
      </w:r>
      <w:r w:rsidR="006F34B3" w:rsidRPr="3896A6D9">
        <w:t>personalizado</w:t>
      </w:r>
      <w:r w:rsidR="006F34B3">
        <w:t xml:space="preserve"> de inclusión social</w:t>
      </w:r>
      <w:r w:rsidR="00F10978">
        <w:t>. L</w:t>
      </w:r>
      <w:r w:rsidR="00EC2AE3">
        <w:t>os recursos ofertados de participación en programas de empleo y/o formación a las personas beneficiarias</w:t>
      </w:r>
      <w:r w:rsidR="00F10978">
        <w:t>, sin embargo,</w:t>
      </w:r>
      <w:r w:rsidR="00EC2AE3">
        <w:t xml:space="preserve"> no se registran en todos los casos.</w:t>
      </w:r>
    </w:p>
    <w:p w14:paraId="2610C7A3" w14:textId="44620E0D" w:rsidR="00FE1F21" w:rsidRPr="009E43FD" w:rsidRDefault="00FE1F21" w:rsidP="009E43FD">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szCs w:val="26"/>
        </w:rPr>
      </w:pPr>
      <w:r w:rsidRPr="009E43FD">
        <w:rPr>
          <w:i/>
          <w:szCs w:val="26"/>
        </w:rPr>
        <w:t>Realizar revisiones de oficio sobre las unidades familiares o beneficiarios de renta garantizada, al azar o por muestreo, con el objetivo de detectar posibles incumplimientos de los requisitos exigidos en la normativa.</w:t>
      </w:r>
    </w:p>
    <w:p w14:paraId="62E45240" w14:textId="147FE78E" w:rsidR="00FE1F21" w:rsidRPr="00547F60" w:rsidRDefault="00FE1F21" w:rsidP="3896A6D9">
      <w:pPr>
        <w:pStyle w:val="texto"/>
        <w:spacing w:after="140"/>
        <w:jc w:val="both"/>
        <w:rPr>
          <w:rFonts w:ascii="GillSans" w:hAnsi="GillSans"/>
          <w:b/>
          <w:bCs/>
          <w:i/>
          <w:iCs/>
          <w:color w:val="000000"/>
          <w:kern w:val="28"/>
        </w:rPr>
      </w:pPr>
      <w:r>
        <w:t>Esta recomendación no ha sido aplicada; dados los recursos existentes solo se realizan revisiones sobre casos en los que se tienen sospechas de incumplimientos</w:t>
      </w:r>
      <w:r w:rsidR="00F10978">
        <w:t>,</w:t>
      </w:r>
      <w:r>
        <w:t xml:space="preserve"> sin abarcar un número</w:t>
      </w:r>
      <w:r w:rsidR="4A6E99E3">
        <w:t xml:space="preserve"> significativo</w:t>
      </w:r>
      <w:r>
        <w:t xml:space="preserve"> de expedientes inspeccionados dado el volumen existente. </w:t>
      </w:r>
    </w:p>
    <w:p w14:paraId="3716D69B" w14:textId="77777777" w:rsidR="00FE1F21" w:rsidRPr="00141996"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i/>
          <w:color w:val="000000"/>
          <w:kern w:val="28"/>
        </w:rPr>
      </w:pPr>
      <w:r w:rsidRPr="00547F60">
        <w:rPr>
          <w:i/>
          <w:szCs w:val="26"/>
        </w:rPr>
        <w:t xml:space="preserve">Realizar un seguimiento de los expedientes que se envían a la sección de inspección con los informes que se reciben de dicha sección. </w:t>
      </w:r>
    </w:p>
    <w:p w14:paraId="1F3E544C" w14:textId="77777777" w:rsidR="00FE1F21" w:rsidRPr="00547F60" w:rsidRDefault="62A9032F" w:rsidP="5D8B6717">
      <w:pPr>
        <w:pStyle w:val="texto"/>
        <w:tabs>
          <w:tab w:val="clear" w:pos="2835"/>
          <w:tab w:val="clear" w:pos="3969"/>
          <w:tab w:val="clear" w:pos="5103"/>
          <w:tab w:val="clear" w:pos="6237"/>
          <w:tab w:val="clear" w:pos="7371"/>
        </w:tabs>
        <w:spacing w:after="140"/>
        <w:jc w:val="both"/>
        <w:rPr>
          <w:rFonts w:ascii="GillSans" w:hAnsi="GillSans"/>
          <w:b/>
          <w:bCs/>
          <w:i/>
          <w:iCs/>
          <w:color w:val="000000"/>
          <w:kern w:val="28"/>
        </w:rPr>
      </w:pPr>
      <w:r>
        <w:t>Esta recomendación ha sido totalmente aplicada constando un archivo en el que se realiza el seguimiento de los expedientes remitidos a inspección.</w:t>
      </w:r>
    </w:p>
    <w:p w14:paraId="6DB67AD8" w14:textId="77777777" w:rsidR="00FE1F21" w:rsidRPr="00141996"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i/>
          <w:color w:val="000000"/>
          <w:kern w:val="28"/>
        </w:rPr>
      </w:pPr>
      <w:r w:rsidRPr="00547F60">
        <w:rPr>
          <w:i/>
          <w:szCs w:val="26"/>
        </w:rPr>
        <w:t xml:space="preserve">Adaptar el manual de inspección a la ley foral reguladora vigente del derecho a la </w:t>
      </w:r>
      <w:r w:rsidRPr="000C5B0B">
        <w:rPr>
          <w:rFonts w:eastAsia="Calibri"/>
          <w:i/>
          <w:iCs/>
          <w:szCs w:val="26"/>
        </w:rPr>
        <w:t>renta</w:t>
      </w:r>
      <w:r>
        <w:rPr>
          <w:i/>
          <w:szCs w:val="26"/>
        </w:rPr>
        <w:t xml:space="preserve"> garantizada</w:t>
      </w:r>
      <w:r w:rsidRPr="00547F60">
        <w:rPr>
          <w:i/>
          <w:szCs w:val="26"/>
        </w:rPr>
        <w:t xml:space="preserve">. </w:t>
      </w:r>
    </w:p>
    <w:p w14:paraId="111D05DB" w14:textId="17EEAE25" w:rsidR="009E43FD" w:rsidRDefault="62A9032F" w:rsidP="00A215EC">
      <w:pPr>
        <w:pStyle w:val="texto"/>
        <w:spacing w:after="140"/>
        <w:jc w:val="both"/>
      </w:pPr>
      <w:r w:rsidRPr="5D8B6717">
        <w:t>Esta recomendación ha sido totalmente aplicada y la última actualización del manual de inspección se realizó en 2021; en este proceso destacamos que las inspecciones se tramitan en EXTR@</w:t>
      </w:r>
      <w:r w:rsidR="00FE1F21" w:rsidRPr="5D8B6717">
        <w:rPr>
          <w:rStyle w:val="Refdenotaalpie"/>
        </w:rPr>
        <w:footnoteReference w:id="15"/>
      </w:r>
      <w:r w:rsidRPr="5D8B6717">
        <w:t xml:space="preserve"> lo que facilita su seguimiento y que se añadieron</w:t>
      </w:r>
      <w:r w:rsidR="00F10978">
        <w:t>,</w:t>
      </w:r>
      <w:r w:rsidRPr="5D8B6717">
        <w:t xml:space="preserve"> como expedientes susceptibles de ser inspeccionados, aquellos sobre los que existen sospechas de actividades laborales o económicas concretas no comunicadas. </w:t>
      </w:r>
    </w:p>
    <w:p w14:paraId="75A1ED0E" w14:textId="77777777" w:rsidR="00FE1F21" w:rsidRPr="00141996"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i/>
          <w:color w:val="000000"/>
          <w:kern w:val="28"/>
        </w:rPr>
      </w:pPr>
      <w:r w:rsidRPr="00547F60">
        <w:rPr>
          <w:i/>
          <w:szCs w:val="26"/>
        </w:rPr>
        <w:t xml:space="preserve">Incoar </w:t>
      </w:r>
      <w:r w:rsidRPr="000C5B0B">
        <w:rPr>
          <w:rFonts w:eastAsia="Calibri"/>
          <w:i/>
          <w:iCs/>
          <w:szCs w:val="26"/>
        </w:rPr>
        <w:t>los</w:t>
      </w:r>
      <w:r w:rsidRPr="00547F60">
        <w:rPr>
          <w:i/>
          <w:szCs w:val="26"/>
        </w:rPr>
        <w:t xml:space="preserve"> procedimientos sancionadores en todos los casos de incumplimiento de las obligaciones de los beneficiarios de </w:t>
      </w:r>
      <w:r>
        <w:rPr>
          <w:i/>
          <w:szCs w:val="26"/>
        </w:rPr>
        <w:t>renta garantizada</w:t>
      </w:r>
      <w:r w:rsidRPr="00547F60">
        <w:rPr>
          <w:i/>
          <w:szCs w:val="26"/>
        </w:rPr>
        <w:t xml:space="preserve">. </w:t>
      </w:r>
    </w:p>
    <w:p w14:paraId="200FED68" w14:textId="578AE040" w:rsidR="00801032" w:rsidRDefault="00FE1F21" w:rsidP="3896A6D9">
      <w:pPr>
        <w:pStyle w:val="texto"/>
        <w:spacing w:after="140"/>
        <w:jc w:val="both"/>
      </w:pPr>
      <w:r>
        <w:t>Esta recomendación ha sido totalmente aplicada</w:t>
      </w:r>
      <w:r w:rsidR="7BCD1F00">
        <w:t>,</w:t>
      </w:r>
      <w:r>
        <w:t xml:space="preserve"> constando un archivo en el que se realiza el seguimiento de los expedientes remitidos a inspección.</w:t>
      </w:r>
    </w:p>
    <w:p w14:paraId="5145F779" w14:textId="77777777" w:rsidR="00FE1F21" w:rsidRPr="00141996"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i/>
          <w:color w:val="000000"/>
          <w:kern w:val="28"/>
        </w:rPr>
      </w:pPr>
      <w:r w:rsidRPr="00547F60">
        <w:rPr>
          <w:i/>
          <w:szCs w:val="26"/>
        </w:rPr>
        <w:t xml:space="preserve">Definir </w:t>
      </w:r>
      <w:r w:rsidRPr="000C5B0B">
        <w:rPr>
          <w:rFonts w:eastAsia="Calibri"/>
          <w:i/>
          <w:iCs/>
          <w:szCs w:val="26"/>
        </w:rPr>
        <w:t>en</w:t>
      </w:r>
      <w:r w:rsidRPr="00547F60">
        <w:rPr>
          <w:i/>
          <w:szCs w:val="26"/>
        </w:rPr>
        <w:t xml:space="preserve"> los presupuestos generales de Navarra los indicadores necesarios para valorar la eficacia y eficiencia de la gestión de la </w:t>
      </w:r>
      <w:r>
        <w:rPr>
          <w:i/>
          <w:szCs w:val="26"/>
        </w:rPr>
        <w:t>renta garantizada</w:t>
      </w:r>
      <w:r w:rsidRPr="00547F60">
        <w:rPr>
          <w:i/>
          <w:szCs w:val="26"/>
        </w:rPr>
        <w:t xml:space="preserve">. </w:t>
      </w:r>
    </w:p>
    <w:p w14:paraId="37B47237" w14:textId="5DD3E253" w:rsidR="00832C64" w:rsidRDefault="00FE1F21" w:rsidP="00A215EC">
      <w:pPr>
        <w:pStyle w:val="texto"/>
        <w:spacing w:after="140"/>
        <w:jc w:val="both"/>
      </w:pPr>
      <w:r>
        <w:t xml:space="preserve">Esta recomendación no ha sido aplicada y siguen sin definirse en los presupuestos indicadores </w:t>
      </w:r>
      <w:r w:rsidR="22A47C62">
        <w:t>para</w:t>
      </w:r>
      <w:r>
        <w:t xml:space="preserve"> evaluar la eficacia y eficiencia de la RG.</w:t>
      </w:r>
    </w:p>
    <w:p w14:paraId="529AB07C" w14:textId="77777777" w:rsidR="00FE1F21" w:rsidRPr="00B246C5"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szCs w:val="26"/>
        </w:rPr>
      </w:pPr>
      <w:r w:rsidRPr="00547F60">
        <w:rPr>
          <w:i/>
          <w:szCs w:val="26"/>
        </w:rPr>
        <w:lastRenderedPageBreak/>
        <w:t xml:space="preserve">Estudiar la conveniencia de adaptar el programa informático utilizado para la gestión del derecho a una </w:t>
      </w:r>
      <w:r>
        <w:rPr>
          <w:i/>
          <w:szCs w:val="26"/>
        </w:rPr>
        <w:t>renta garantizada</w:t>
      </w:r>
      <w:r w:rsidRPr="00547F60">
        <w:rPr>
          <w:i/>
          <w:szCs w:val="26"/>
        </w:rPr>
        <w:t xml:space="preserve"> para que la explotación y análisis de los datos permita conocer y evaluar de manera ágil y operativa el cumplimiento de los objetivos propuestos. </w:t>
      </w:r>
    </w:p>
    <w:p w14:paraId="4D34D863" w14:textId="77777777" w:rsidR="00FE1F21" w:rsidRPr="00547F60" w:rsidRDefault="00FE1F21" w:rsidP="00A215EC">
      <w:pPr>
        <w:pStyle w:val="texto"/>
        <w:spacing w:after="140"/>
        <w:jc w:val="both"/>
        <w:rPr>
          <w:rFonts w:ascii="GillSans" w:hAnsi="GillSans"/>
          <w:b/>
          <w:bCs/>
          <w:i/>
          <w:iCs/>
          <w:color w:val="000000"/>
          <w:kern w:val="28"/>
          <w:szCs w:val="26"/>
        </w:rPr>
      </w:pPr>
      <w:r>
        <w:rPr>
          <w:szCs w:val="26"/>
        </w:rPr>
        <w:t>E</w:t>
      </w:r>
      <w:r w:rsidRPr="005D3280">
        <w:rPr>
          <w:szCs w:val="26"/>
        </w:rPr>
        <w:t xml:space="preserve">sta recomendación </w:t>
      </w:r>
      <w:r>
        <w:rPr>
          <w:szCs w:val="26"/>
        </w:rPr>
        <w:t xml:space="preserve">no es aplicable en el marco actual dado que el departamento se encuentra actualmente en proceso de desarrollo de un nuevo programa informático.  </w:t>
      </w:r>
    </w:p>
    <w:p w14:paraId="1DF684E8" w14:textId="77777777" w:rsidR="00FE1F21" w:rsidRPr="003854E8" w:rsidRDefault="00FE1F21" w:rsidP="000C5B0B">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rFonts w:ascii="GillSans" w:hAnsi="GillSans"/>
          <w:b/>
          <w:i/>
          <w:color w:val="000000"/>
          <w:kern w:val="28"/>
        </w:rPr>
      </w:pPr>
      <w:r w:rsidRPr="00547F60">
        <w:rPr>
          <w:i/>
          <w:szCs w:val="26"/>
        </w:rPr>
        <w:t xml:space="preserve">Potenciar </w:t>
      </w:r>
      <w:r w:rsidRPr="000C5B0B">
        <w:rPr>
          <w:rFonts w:eastAsia="Calibri"/>
          <w:i/>
          <w:iCs/>
          <w:szCs w:val="26"/>
        </w:rPr>
        <w:t>políticas</w:t>
      </w:r>
      <w:r w:rsidRPr="00547F60">
        <w:rPr>
          <w:i/>
          <w:szCs w:val="26"/>
        </w:rPr>
        <w:t xml:space="preserve"> de empleo y de acceso al mercado laboral para conseguir dotar a las personas de autonomía económica. </w:t>
      </w:r>
    </w:p>
    <w:p w14:paraId="3ED59B6E" w14:textId="77777777" w:rsidR="00237D52" w:rsidRDefault="00F135D7" w:rsidP="00F10291">
      <w:pPr>
        <w:pStyle w:val="texto"/>
        <w:spacing w:after="140"/>
        <w:jc w:val="both"/>
      </w:pPr>
      <w:r>
        <w:t xml:space="preserve">El departamento ha llevado a cabo varias políticas de potenciación del empleo cuyo análisis </w:t>
      </w:r>
      <w:r w:rsidR="00237D52">
        <w:t xml:space="preserve">específico </w:t>
      </w:r>
      <w:r>
        <w:t xml:space="preserve">habría demorado excesivamente la realización de este informe. </w:t>
      </w:r>
    </w:p>
    <w:p w14:paraId="658DF141" w14:textId="0ABE0425" w:rsidR="00FE1F21" w:rsidRPr="003854E8" w:rsidRDefault="00F135D7" w:rsidP="00F10291">
      <w:pPr>
        <w:pStyle w:val="texto"/>
        <w:spacing w:after="140"/>
        <w:jc w:val="both"/>
      </w:pPr>
      <w:r>
        <w:t xml:space="preserve">Por este motivo, </w:t>
      </w:r>
      <w:r w:rsidR="00BD440C">
        <w:t>si bien es cierto</w:t>
      </w:r>
      <w:r w:rsidR="00237D52">
        <w:t xml:space="preserve"> que se han realizado estas políticas</w:t>
      </w:r>
      <w:r w:rsidR="00BD440C">
        <w:t>, de las conclusiones de nuestro trabajo se deduce que solo el 26 por ciento de las personas perceptoras de RG disponibles para el empleo consiguieron un empleo</w:t>
      </w:r>
      <w:r w:rsidR="00237D52">
        <w:t>, por lo que consideramos que se debe seguir incidiendo en las mismas</w:t>
      </w:r>
      <w:r w:rsidR="00BD440C">
        <w:t xml:space="preserve">. </w:t>
      </w:r>
      <w:r>
        <w:t xml:space="preserve"> </w:t>
      </w:r>
    </w:p>
    <w:p w14:paraId="5AD27ABE" w14:textId="469873D9" w:rsidR="00FE1F21" w:rsidRPr="00F10291" w:rsidRDefault="00FE1F21" w:rsidP="00F10291">
      <w:pPr>
        <w:pStyle w:val="texto"/>
        <w:numPr>
          <w:ilvl w:val="0"/>
          <w:numId w:val="5"/>
        </w:numPr>
        <w:tabs>
          <w:tab w:val="clear" w:pos="2835"/>
          <w:tab w:val="clear" w:pos="3969"/>
          <w:tab w:val="clear" w:pos="5103"/>
          <w:tab w:val="clear" w:pos="6237"/>
          <w:tab w:val="clear" w:pos="7371"/>
          <w:tab w:val="num" w:pos="300"/>
          <w:tab w:val="left" w:pos="480"/>
          <w:tab w:val="num" w:pos="600"/>
        </w:tabs>
        <w:spacing w:after="140"/>
        <w:ind w:left="0" w:firstLine="289"/>
        <w:jc w:val="both"/>
        <w:rPr>
          <w:i/>
          <w:szCs w:val="26"/>
        </w:rPr>
      </w:pPr>
      <w:r w:rsidRPr="00F10291">
        <w:rPr>
          <w:i/>
          <w:szCs w:val="26"/>
        </w:rPr>
        <w:t>Aprobar futuros planes estratégicos de inclusión social en los plazos establecidos en la normativa aplicable.</w:t>
      </w:r>
    </w:p>
    <w:p w14:paraId="7D306649" w14:textId="3A9B8F38" w:rsidR="00D25E96" w:rsidRDefault="62A9032F" w:rsidP="00A215EC">
      <w:pPr>
        <w:pStyle w:val="texto"/>
        <w:spacing w:after="140"/>
        <w:jc w:val="both"/>
      </w:pPr>
      <w:r>
        <w:t xml:space="preserve">Esta recomendación no ha sido aplicada y el último plan aprobado fue el correspondiente al periodo 2018-2021, si bien la elaboración de uno nuevo fue pospuesta por los efectos de la </w:t>
      </w:r>
      <w:r w:rsidRPr="00A215EC">
        <w:rPr>
          <w:lang w:val="es-ES_tradnl"/>
        </w:rPr>
        <w:t>pandemia</w:t>
      </w:r>
      <w:r>
        <w:t xml:space="preserve"> de la COVID-19, acordándose la prórroga del plan citado. Según informa el departamento, actualmente se está elaborando el nuevo plan, esperando que las directrices y líneas estratégicas del mismo estén definidas para finales de 2024.</w:t>
      </w:r>
    </w:p>
    <w:p w14:paraId="680A4E5D" w14:textId="77777777" w:rsidR="00315E21" w:rsidRDefault="00315E21" w:rsidP="00FE1F21">
      <w:pPr>
        <w:pStyle w:val="texto"/>
        <w:tabs>
          <w:tab w:val="clear" w:pos="2835"/>
          <w:tab w:val="clear" w:pos="3969"/>
          <w:tab w:val="clear" w:pos="5103"/>
          <w:tab w:val="clear" w:pos="6237"/>
          <w:tab w:val="clear" w:pos="7371"/>
        </w:tabs>
        <w:spacing w:after="140"/>
        <w:ind w:left="284" w:firstLine="0"/>
        <w:jc w:val="both"/>
        <w:rPr>
          <w:rFonts w:ascii="GillSans" w:hAnsi="GillSans"/>
          <w:b/>
          <w:color w:val="000000"/>
          <w:kern w:val="28"/>
        </w:rPr>
        <w:sectPr w:rsidR="00315E21" w:rsidSect="008A58AD">
          <w:footerReference w:type="default" r:id="rId18"/>
          <w:pgSz w:w="11906" w:h="16838"/>
          <w:pgMar w:top="1985" w:right="1418" w:bottom="1276" w:left="1701" w:header="709" w:footer="709" w:gutter="0"/>
          <w:cols w:space="708"/>
          <w:docGrid w:linePitch="360"/>
        </w:sectPr>
      </w:pPr>
    </w:p>
    <w:p w14:paraId="04D7F418" w14:textId="12F8E027" w:rsidR="00315E21" w:rsidRDefault="00315E21" w:rsidP="00315E21">
      <w:pPr>
        <w:pStyle w:val="atitulo1"/>
        <w:jc w:val="both"/>
      </w:pPr>
      <w:bookmarkStart w:id="20" w:name="_Toc136885525"/>
      <w:bookmarkStart w:id="21" w:name="_Toc168248209"/>
      <w:bookmarkStart w:id="22" w:name="_Toc187821050"/>
      <w:bookmarkEnd w:id="11"/>
      <w:r w:rsidRPr="007C6BC1">
        <w:lastRenderedPageBreak/>
        <w:t>Anexo</w:t>
      </w:r>
      <w:r w:rsidR="00E91676">
        <w:t xml:space="preserve"> 1</w:t>
      </w:r>
      <w:r w:rsidRPr="007C6BC1">
        <w:t xml:space="preserve">. </w:t>
      </w:r>
      <w:bookmarkEnd w:id="20"/>
      <w:bookmarkEnd w:id="21"/>
      <w:r w:rsidR="002929EB">
        <w:t>Flujograma del p</w:t>
      </w:r>
      <w:r>
        <w:t xml:space="preserve">rocedimiento de gestión de la </w:t>
      </w:r>
      <w:r w:rsidR="00074BC5">
        <w:t>RG</w:t>
      </w:r>
      <w:bookmarkEnd w:id="22"/>
    </w:p>
    <w:p w14:paraId="2BFF3C33" w14:textId="77777777" w:rsidR="000C24C5" w:rsidRDefault="51A10B05" w:rsidP="5D8B6717">
      <w:pPr>
        <w:spacing w:after="160" w:line="259" w:lineRule="auto"/>
        <w:jc w:val="center"/>
        <w:rPr>
          <w:rFonts w:ascii="Arial" w:hAnsi="Arial"/>
          <w:b/>
          <w:bCs/>
          <w:color w:val="000000"/>
          <w:kern w:val="28"/>
          <w:sz w:val="25"/>
          <w:szCs w:val="25"/>
        </w:rPr>
        <w:sectPr w:rsidR="000C24C5" w:rsidSect="008A58AD">
          <w:headerReference w:type="default" r:id="rId19"/>
          <w:pgSz w:w="16838" w:h="11906" w:orient="landscape"/>
          <w:pgMar w:top="1985" w:right="1418" w:bottom="1701" w:left="1418" w:header="709" w:footer="709" w:gutter="0"/>
          <w:cols w:space="708"/>
          <w:docGrid w:linePitch="360"/>
        </w:sectPr>
      </w:pPr>
      <w:r>
        <w:rPr>
          <w:noProof/>
        </w:rPr>
        <w:drawing>
          <wp:inline distT="0" distB="0" distL="0" distR="0" wp14:anchorId="6829712A" wp14:editId="33C1F9D3">
            <wp:extent cx="8588928" cy="4748733"/>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20">
                      <a:extLst>
                        <a:ext uri="{28A0092B-C50C-407E-A947-70E740481C1C}">
                          <a14:useLocalDpi xmlns:a14="http://schemas.microsoft.com/office/drawing/2010/main" val="0"/>
                        </a:ext>
                      </a:extLst>
                    </a:blip>
                    <a:stretch>
                      <a:fillRect/>
                    </a:stretch>
                  </pic:blipFill>
                  <pic:spPr>
                    <a:xfrm>
                      <a:off x="0" y="0"/>
                      <a:ext cx="8632456" cy="4772799"/>
                    </a:xfrm>
                    <a:prstGeom prst="rect">
                      <a:avLst/>
                    </a:prstGeom>
                  </pic:spPr>
                </pic:pic>
              </a:graphicData>
            </a:graphic>
          </wp:inline>
        </w:drawing>
      </w:r>
    </w:p>
    <w:p w14:paraId="1775A2B9" w14:textId="05A3D60B" w:rsidR="000C24C5" w:rsidRDefault="000C24C5" w:rsidP="00E5596B">
      <w:pPr>
        <w:pStyle w:val="atitulo1"/>
        <w:jc w:val="both"/>
      </w:pPr>
      <w:bookmarkStart w:id="23" w:name="_Toc187821051"/>
      <w:r w:rsidRPr="007C6BC1">
        <w:lastRenderedPageBreak/>
        <w:t>Anexo</w:t>
      </w:r>
      <w:r>
        <w:t xml:space="preserve"> 2</w:t>
      </w:r>
      <w:r w:rsidRPr="007C6BC1">
        <w:t xml:space="preserve">. </w:t>
      </w:r>
      <w:r>
        <w:t>Evolución de personas perceptoras de RG y sus características (2019-2023)</w:t>
      </w:r>
      <w:bookmarkEnd w:id="23"/>
    </w:p>
    <w:p w14:paraId="141492EB" w14:textId="0B7A344F" w:rsidR="000C24C5" w:rsidRDefault="000C24C5" w:rsidP="3896A6D9">
      <w:pPr>
        <w:pStyle w:val="texto"/>
        <w:spacing w:after="140"/>
        <w:jc w:val="both"/>
        <w:rPr>
          <w:rFonts w:eastAsia="Calibri"/>
        </w:rPr>
      </w:pPr>
      <w:r w:rsidRPr="3896A6D9">
        <w:rPr>
          <w:rFonts w:eastAsia="Calibri"/>
        </w:rPr>
        <w:t>A continuación, mostramos la evolución de las personas perceptoras de RG y sus características de acuerdo a la información que consta</w:t>
      </w:r>
      <w:r w:rsidR="00E91FD8" w:rsidRPr="3896A6D9">
        <w:rPr>
          <w:rFonts w:eastAsia="Calibri"/>
        </w:rPr>
        <w:t xml:space="preserve"> en SIPSS. </w:t>
      </w:r>
      <w:r w:rsidRPr="3896A6D9">
        <w:rPr>
          <w:rFonts w:eastAsia="Calibri"/>
        </w:rPr>
        <w:t>Señalamos como hecho relevante que los datos de 2020</w:t>
      </w:r>
      <w:r w:rsidR="00E91FD8" w:rsidRPr="3896A6D9">
        <w:rPr>
          <w:rFonts w:eastAsia="Calibri"/>
        </w:rPr>
        <w:t xml:space="preserve"> y</w:t>
      </w:r>
      <w:r w:rsidRPr="3896A6D9">
        <w:rPr>
          <w:rFonts w:eastAsia="Calibri"/>
        </w:rPr>
        <w:t xml:space="preserve"> 2021</w:t>
      </w:r>
      <w:r w:rsidR="00E91FD8" w:rsidRPr="3896A6D9">
        <w:rPr>
          <w:rFonts w:eastAsia="Calibri"/>
        </w:rPr>
        <w:t>,</w:t>
      </w:r>
      <w:r w:rsidRPr="3896A6D9">
        <w:rPr>
          <w:rFonts w:eastAsia="Calibri"/>
        </w:rPr>
        <w:t xml:space="preserve"> y en parte los de 2022</w:t>
      </w:r>
      <w:r w:rsidR="00E91FD8" w:rsidRPr="3896A6D9">
        <w:rPr>
          <w:rFonts w:eastAsia="Calibri"/>
        </w:rPr>
        <w:t>,</w:t>
      </w:r>
      <w:r w:rsidRPr="3896A6D9">
        <w:rPr>
          <w:rFonts w:eastAsia="Calibri"/>
        </w:rPr>
        <w:t xml:space="preserve"> pueden estar condicionados significativamente por los efectos de la pandemia de la COVID-19.</w:t>
      </w:r>
    </w:p>
    <w:p w14:paraId="7455063A" w14:textId="1FD1376D" w:rsidR="000C24C5" w:rsidRPr="00E5596B" w:rsidRDefault="002929EB" w:rsidP="00133CE6">
      <w:pPr>
        <w:pStyle w:val="texto"/>
        <w:numPr>
          <w:ilvl w:val="0"/>
          <w:numId w:val="5"/>
        </w:numPr>
        <w:tabs>
          <w:tab w:val="clear" w:pos="2835"/>
          <w:tab w:val="clear" w:pos="3969"/>
          <w:tab w:val="clear" w:pos="5103"/>
          <w:tab w:val="clear" w:pos="6237"/>
          <w:tab w:val="clear" w:pos="7371"/>
          <w:tab w:val="num" w:pos="300"/>
          <w:tab w:val="left" w:pos="480"/>
          <w:tab w:val="num" w:pos="600"/>
        </w:tabs>
        <w:spacing w:before="200" w:after="200"/>
        <w:ind w:left="0" w:firstLine="289"/>
        <w:jc w:val="both"/>
        <w:rPr>
          <w:i/>
          <w:szCs w:val="26"/>
        </w:rPr>
      </w:pPr>
      <w:r w:rsidRPr="00E5596B">
        <w:rPr>
          <w:i/>
          <w:szCs w:val="26"/>
        </w:rPr>
        <w:t>T</w:t>
      </w:r>
      <w:r w:rsidR="000C24C5" w:rsidRPr="00E5596B">
        <w:rPr>
          <w:i/>
          <w:szCs w:val="26"/>
        </w:rPr>
        <w:t xml:space="preserve">itulares y personas beneficiarias de la RG: </w:t>
      </w:r>
    </w:p>
    <w:p w14:paraId="7CDCDC7F" w14:textId="77777777" w:rsidR="000C24C5" w:rsidRDefault="000C24C5" w:rsidP="00E34869">
      <w:pPr>
        <w:pStyle w:val="Default"/>
        <w:tabs>
          <w:tab w:val="left" w:pos="142"/>
        </w:tabs>
        <w:spacing w:before="120" w:after="120"/>
        <w:jc w:val="both"/>
        <w:rPr>
          <w:rFonts w:ascii="Times New Roman" w:eastAsia="Calibri" w:hAnsi="Times New Roman" w:cs="Times New Roman"/>
          <w:sz w:val="26"/>
          <w:szCs w:val="26"/>
        </w:rPr>
      </w:pPr>
      <w:r>
        <w:rPr>
          <w:noProof/>
        </w:rPr>
        <w:drawing>
          <wp:inline distT="0" distB="0" distL="0" distR="0" wp14:anchorId="3ABBEE7E" wp14:editId="2193AD23">
            <wp:extent cx="5718220" cy="2625466"/>
            <wp:effectExtent l="0" t="0" r="0" b="381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33F9D20B">
        <w:rPr>
          <w:rFonts w:ascii="Times New Roman" w:eastAsia="Calibri" w:hAnsi="Times New Roman" w:cs="Times New Roman"/>
          <w:sz w:val="26"/>
          <w:szCs w:val="26"/>
        </w:rPr>
        <w:t xml:space="preserve">    </w:t>
      </w:r>
    </w:p>
    <w:p w14:paraId="4B2E23F4" w14:textId="3175AA19" w:rsidR="000C24C5" w:rsidRPr="00133CE6" w:rsidRDefault="000C24C5" w:rsidP="00133CE6">
      <w:pPr>
        <w:pStyle w:val="texto"/>
        <w:numPr>
          <w:ilvl w:val="0"/>
          <w:numId w:val="5"/>
        </w:numPr>
        <w:tabs>
          <w:tab w:val="clear" w:pos="2835"/>
          <w:tab w:val="clear" w:pos="3969"/>
          <w:tab w:val="clear" w:pos="5103"/>
          <w:tab w:val="clear" w:pos="6237"/>
          <w:tab w:val="clear" w:pos="7371"/>
          <w:tab w:val="num" w:pos="300"/>
          <w:tab w:val="left" w:pos="480"/>
          <w:tab w:val="num" w:pos="600"/>
        </w:tabs>
        <w:spacing w:before="200" w:after="200"/>
        <w:ind w:left="0" w:firstLine="289"/>
        <w:jc w:val="both"/>
        <w:rPr>
          <w:i/>
          <w:szCs w:val="26"/>
        </w:rPr>
      </w:pPr>
      <w:r w:rsidRPr="00133CE6">
        <w:rPr>
          <w:i/>
          <w:szCs w:val="26"/>
        </w:rPr>
        <w:t xml:space="preserve">Edad de las </w:t>
      </w:r>
      <w:r w:rsidRPr="00E5596B">
        <w:rPr>
          <w:i/>
          <w:szCs w:val="26"/>
        </w:rPr>
        <w:t>personas</w:t>
      </w:r>
      <w:r w:rsidRPr="00133CE6">
        <w:rPr>
          <w:i/>
          <w:szCs w:val="26"/>
        </w:rPr>
        <w:t xml:space="preserve"> beneficiarias: </w:t>
      </w:r>
    </w:p>
    <w:p w14:paraId="44262154" w14:textId="11DE89CE" w:rsidR="000C24C5" w:rsidRPr="007F1370" w:rsidRDefault="000C24C5" w:rsidP="000C24C5">
      <w:pPr>
        <w:pStyle w:val="Default"/>
        <w:spacing w:before="120"/>
        <w:ind w:left="284" w:hanging="426"/>
        <w:jc w:val="center"/>
        <w:rPr>
          <w:rFonts w:ascii="Times New Roman" w:eastAsia="Calibri" w:hAnsi="Times New Roman" w:cs="Times New Roman"/>
          <w:sz w:val="26"/>
          <w:szCs w:val="26"/>
        </w:rPr>
      </w:pPr>
      <w:r>
        <w:rPr>
          <w:noProof/>
        </w:rPr>
        <w:drawing>
          <wp:inline distT="0" distB="0" distL="0" distR="0" wp14:anchorId="21596E2B" wp14:editId="6348D2EF">
            <wp:extent cx="5808327" cy="3212269"/>
            <wp:effectExtent l="0" t="0" r="2540" b="762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3B4D1AC" w14:textId="5823C14D" w:rsidR="000C24C5" w:rsidRPr="00133CE6" w:rsidRDefault="002929EB" w:rsidP="3896A6D9">
      <w:pPr>
        <w:pStyle w:val="texto"/>
        <w:numPr>
          <w:ilvl w:val="0"/>
          <w:numId w:val="5"/>
        </w:numPr>
        <w:tabs>
          <w:tab w:val="clear" w:pos="2835"/>
          <w:tab w:val="clear" w:pos="3969"/>
          <w:tab w:val="clear" w:pos="5103"/>
          <w:tab w:val="clear" w:pos="6237"/>
          <w:tab w:val="clear" w:pos="7371"/>
          <w:tab w:val="num" w:pos="300"/>
          <w:tab w:val="left" w:pos="480"/>
          <w:tab w:val="num" w:pos="600"/>
        </w:tabs>
        <w:spacing w:before="200" w:after="200"/>
        <w:ind w:left="0" w:firstLine="289"/>
        <w:jc w:val="both"/>
        <w:rPr>
          <w:i/>
          <w:iCs/>
        </w:rPr>
      </w:pPr>
      <w:r w:rsidRPr="3896A6D9">
        <w:rPr>
          <w:i/>
          <w:iCs/>
        </w:rPr>
        <w:lastRenderedPageBreak/>
        <w:t>L</w:t>
      </w:r>
      <w:r w:rsidR="000C24C5" w:rsidRPr="3896A6D9">
        <w:rPr>
          <w:i/>
          <w:iCs/>
        </w:rPr>
        <w:t>ugar de nacimiento y nacionalidad de las personas beneficiarias:</w:t>
      </w:r>
    </w:p>
    <w:p w14:paraId="4ADC5A99" w14:textId="77777777" w:rsidR="000C24C5" w:rsidRDefault="000C24C5" w:rsidP="00E34869">
      <w:pPr>
        <w:pStyle w:val="Default"/>
        <w:spacing w:before="120"/>
        <w:ind w:left="284" w:hanging="426"/>
        <w:jc w:val="center"/>
        <w:rPr>
          <w:rFonts w:ascii="Times New Roman" w:eastAsia="Calibri" w:hAnsi="Times New Roman" w:cs="Times New Roman"/>
          <w:sz w:val="26"/>
          <w:szCs w:val="26"/>
        </w:rPr>
      </w:pPr>
      <w:r>
        <w:rPr>
          <w:noProof/>
        </w:rPr>
        <w:drawing>
          <wp:inline distT="0" distB="0" distL="0" distR="0" wp14:anchorId="4B74911F" wp14:editId="24A1D6A4">
            <wp:extent cx="5743575" cy="3845641"/>
            <wp:effectExtent l="0" t="0" r="0" b="254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FC69EA8" w14:textId="7740A090" w:rsidR="000C24C5" w:rsidRPr="00133CE6" w:rsidRDefault="002929EB" w:rsidP="00133CE6">
      <w:pPr>
        <w:pStyle w:val="texto"/>
        <w:numPr>
          <w:ilvl w:val="0"/>
          <w:numId w:val="5"/>
        </w:numPr>
        <w:tabs>
          <w:tab w:val="clear" w:pos="2835"/>
          <w:tab w:val="clear" w:pos="3969"/>
          <w:tab w:val="clear" w:pos="5103"/>
          <w:tab w:val="clear" w:pos="6237"/>
          <w:tab w:val="clear" w:pos="7371"/>
          <w:tab w:val="num" w:pos="300"/>
          <w:tab w:val="left" w:pos="480"/>
          <w:tab w:val="num" w:pos="600"/>
        </w:tabs>
        <w:spacing w:before="200" w:after="200"/>
        <w:ind w:left="0" w:firstLine="289"/>
        <w:jc w:val="both"/>
        <w:rPr>
          <w:i/>
          <w:szCs w:val="26"/>
        </w:rPr>
      </w:pPr>
      <w:r w:rsidRPr="00133CE6">
        <w:rPr>
          <w:i/>
          <w:szCs w:val="26"/>
        </w:rPr>
        <w:t>N</w:t>
      </w:r>
      <w:r w:rsidR="000C24C5" w:rsidRPr="00133CE6">
        <w:rPr>
          <w:i/>
          <w:szCs w:val="26"/>
        </w:rPr>
        <w:t>úmero de miembros de las unidades familiares perceptoras de RG:</w:t>
      </w:r>
    </w:p>
    <w:p w14:paraId="51C1477B" w14:textId="203ECA55" w:rsidR="002929EB" w:rsidRDefault="000C24C5" w:rsidP="000C24C5">
      <w:pPr>
        <w:pStyle w:val="texto"/>
        <w:spacing w:before="120"/>
        <w:ind w:hanging="142"/>
      </w:pPr>
      <w:r>
        <w:rPr>
          <w:noProof/>
        </w:rPr>
        <w:drawing>
          <wp:inline distT="0" distB="0" distL="0" distR="0" wp14:anchorId="51C19248" wp14:editId="045013EB">
            <wp:extent cx="5809130" cy="3127402"/>
            <wp:effectExtent l="0" t="0" r="127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3E4D042" w14:textId="77777777" w:rsidR="002929EB" w:rsidRDefault="002929EB">
      <w:pPr>
        <w:spacing w:after="160" w:line="259" w:lineRule="auto"/>
        <w:rPr>
          <w:spacing w:val="6"/>
          <w:sz w:val="26"/>
          <w:szCs w:val="26"/>
        </w:rPr>
      </w:pPr>
      <w:r>
        <w:rPr>
          <w:szCs w:val="26"/>
        </w:rPr>
        <w:br w:type="page"/>
      </w:r>
    </w:p>
    <w:p w14:paraId="76344385" w14:textId="159C49E6" w:rsidR="000C24C5" w:rsidRPr="00C81DA5" w:rsidRDefault="002929EB" w:rsidP="00133CE6">
      <w:pPr>
        <w:pStyle w:val="texto"/>
        <w:numPr>
          <w:ilvl w:val="0"/>
          <w:numId w:val="5"/>
        </w:numPr>
        <w:tabs>
          <w:tab w:val="clear" w:pos="2835"/>
          <w:tab w:val="clear" w:pos="3969"/>
          <w:tab w:val="clear" w:pos="5103"/>
          <w:tab w:val="clear" w:pos="6237"/>
          <w:tab w:val="clear" w:pos="7371"/>
          <w:tab w:val="num" w:pos="300"/>
          <w:tab w:val="left" w:pos="480"/>
          <w:tab w:val="num" w:pos="600"/>
        </w:tabs>
        <w:spacing w:before="200" w:after="200"/>
        <w:ind w:left="0" w:firstLine="289"/>
        <w:jc w:val="both"/>
        <w:rPr>
          <w:szCs w:val="26"/>
        </w:rPr>
      </w:pPr>
      <w:r w:rsidRPr="002929EB">
        <w:rPr>
          <w:i/>
          <w:szCs w:val="26"/>
        </w:rPr>
        <w:lastRenderedPageBreak/>
        <w:t>Personas perceptoras de RG por áreas de SSB</w:t>
      </w:r>
      <w:r>
        <w:rPr>
          <w:szCs w:val="26"/>
        </w:rPr>
        <w:t xml:space="preserve">: los SSB </w:t>
      </w:r>
      <w:r w:rsidR="000C24C5" w:rsidRPr="00C81DA5">
        <w:rPr>
          <w:szCs w:val="26"/>
        </w:rPr>
        <w:t>se agrupan en se</w:t>
      </w:r>
      <w:r>
        <w:rPr>
          <w:szCs w:val="26"/>
        </w:rPr>
        <w:t>is áreas en Navarra que son</w:t>
      </w:r>
      <w:r w:rsidR="000C24C5" w:rsidRPr="00C81DA5">
        <w:rPr>
          <w:szCs w:val="26"/>
        </w:rPr>
        <w:t xml:space="preserve"> Pamplona y Comarca, Estella, Tafalla, Tudela, Noroeste Navarra y Noreste Navarra. La distribución de personas beneficiarias por área es prácticamente la misma en todos los años del periodo analizado. En concreto, en 2023 el porcentaje de beneficiarios por área fue el siguiente:</w:t>
      </w:r>
    </w:p>
    <w:p w14:paraId="4E0F3EED" w14:textId="77777777" w:rsidR="000C24C5" w:rsidRDefault="000C24C5" w:rsidP="000C24C5">
      <w:pPr>
        <w:pStyle w:val="texto"/>
        <w:tabs>
          <w:tab w:val="clear" w:pos="2835"/>
          <w:tab w:val="clear" w:pos="3969"/>
          <w:tab w:val="clear" w:pos="5103"/>
          <w:tab w:val="clear" w:pos="6237"/>
          <w:tab w:val="clear" w:pos="7371"/>
        </w:tabs>
        <w:ind w:firstLine="0"/>
        <w:jc w:val="center"/>
        <w:rPr>
          <w:szCs w:val="26"/>
        </w:rPr>
      </w:pPr>
      <w:r>
        <w:rPr>
          <w:noProof/>
        </w:rPr>
        <w:drawing>
          <wp:inline distT="0" distB="0" distL="0" distR="0" wp14:anchorId="7FDA3D9C" wp14:editId="343A5C76">
            <wp:extent cx="4191000" cy="4769148"/>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03296" cy="4896935"/>
                    </a:xfrm>
                    <a:prstGeom prst="rect">
                      <a:avLst/>
                    </a:prstGeom>
                  </pic:spPr>
                </pic:pic>
              </a:graphicData>
            </a:graphic>
          </wp:inline>
        </w:drawing>
      </w:r>
    </w:p>
    <w:p w14:paraId="1F73573F" w14:textId="1B996FB9" w:rsidR="000C24C5" w:rsidRPr="00133CE6" w:rsidRDefault="002929EB" w:rsidP="00133CE6">
      <w:pPr>
        <w:pStyle w:val="texto"/>
        <w:numPr>
          <w:ilvl w:val="0"/>
          <w:numId w:val="5"/>
        </w:numPr>
        <w:tabs>
          <w:tab w:val="clear" w:pos="2835"/>
          <w:tab w:val="clear" w:pos="3969"/>
          <w:tab w:val="clear" w:pos="5103"/>
          <w:tab w:val="clear" w:pos="6237"/>
          <w:tab w:val="clear" w:pos="7371"/>
          <w:tab w:val="num" w:pos="300"/>
          <w:tab w:val="left" w:pos="480"/>
          <w:tab w:val="num" w:pos="600"/>
        </w:tabs>
        <w:spacing w:before="200" w:after="200"/>
        <w:ind w:left="0" w:firstLine="289"/>
        <w:jc w:val="both"/>
        <w:rPr>
          <w:i/>
          <w:szCs w:val="26"/>
        </w:rPr>
      </w:pPr>
      <w:r w:rsidRPr="00133CE6">
        <w:rPr>
          <w:i/>
          <w:szCs w:val="26"/>
        </w:rPr>
        <w:t>P</w:t>
      </w:r>
      <w:r w:rsidR="000C24C5" w:rsidRPr="00133CE6">
        <w:rPr>
          <w:i/>
          <w:szCs w:val="26"/>
        </w:rPr>
        <w:t>orcentaje de personas que perciben RG sobre el total de personas censadas en los municipios pertenecientes a cada área de servicios sociales:</w:t>
      </w:r>
    </w:p>
    <w:tbl>
      <w:tblPr>
        <w:tblStyle w:val="Tablaconcuadrcula"/>
        <w:tblW w:w="8789" w:type="dxa"/>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2499"/>
        <w:gridCol w:w="1256"/>
        <w:gridCol w:w="1256"/>
        <w:gridCol w:w="1274"/>
        <w:gridCol w:w="1252"/>
        <w:gridCol w:w="1252"/>
      </w:tblGrid>
      <w:tr w:rsidR="000C24C5" w:rsidRPr="000E5745" w14:paraId="35708171" w14:textId="77777777" w:rsidTr="00E5596B">
        <w:trPr>
          <w:cantSplit/>
          <w:trHeight w:val="255"/>
        </w:trPr>
        <w:tc>
          <w:tcPr>
            <w:tcW w:w="2449" w:type="dxa"/>
            <w:vMerge w:val="restart"/>
            <w:shd w:val="clear" w:color="auto" w:fill="9CC2E5" w:themeFill="accent1" w:themeFillTint="99"/>
            <w:vAlign w:val="center"/>
          </w:tcPr>
          <w:p w14:paraId="26E6DB16" w14:textId="77777777" w:rsidR="000C24C5" w:rsidRPr="000E5745" w:rsidRDefault="000C24C5" w:rsidP="00AB338D">
            <w:pPr>
              <w:pStyle w:val="texto"/>
              <w:ind w:firstLine="0"/>
              <w:rPr>
                <w:rFonts w:ascii="Arial" w:hAnsi="Arial" w:cs="Arial"/>
                <w:sz w:val="18"/>
                <w:szCs w:val="18"/>
              </w:rPr>
            </w:pPr>
            <w:r w:rsidRPr="000E5745">
              <w:rPr>
                <w:rFonts w:ascii="Arial" w:hAnsi="Arial" w:cs="Arial"/>
                <w:sz w:val="18"/>
                <w:szCs w:val="18"/>
              </w:rPr>
              <w:t>Área de Servicios Sociales</w:t>
            </w:r>
          </w:p>
        </w:tc>
        <w:tc>
          <w:tcPr>
            <w:tcW w:w="6169" w:type="dxa"/>
            <w:gridSpan w:val="5"/>
            <w:shd w:val="clear" w:color="auto" w:fill="9CC2E5" w:themeFill="accent1" w:themeFillTint="99"/>
            <w:vAlign w:val="center"/>
          </w:tcPr>
          <w:p w14:paraId="016FB49C" w14:textId="7671AB14" w:rsidR="000C24C5" w:rsidRDefault="000C24C5" w:rsidP="002929EB">
            <w:pPr>
              <w:pStyle w:val="texto"/>
              <w:tabs>
                <w:tab w:val="clear" w:pos="2835"/>
                <w:tab w:val="clear" w:pos="3969"/>
                <w:tab w:val="clear" w:pos="5103"/>
                <w:tab w:val="clear" w:pos="6237"/>
                <w:tab w:val="clear" w:pos="7371"/>
              </w:tabs>
              <w:ind w:firstLine="0"/>
              <w:jc w:val="center"/>
              <w:rPr>
                <w:rFonts w:ascii="Arial" w:hAnsi="Arial" w:cs="Arial"/>
                <w:sz w:val="18"/>
                <w:szCs w:val="18"/>
              </w:rPr>
            </w:pPr>
            <w:r w:rsidRPr="18FF00D8">
              <w:rPr>
                <w:rFonts w:ascii="Arial" w:hAnsi="Arial" w:cs="Arial"/>
                <w:sz w:val="18"/>
                <w:szCs w:val="18"/>
              </w:rPr>
              <w:t xml:space="preserve">% personas perceptoras de RG sobre el total de personas residentes </w:t>
            </w:r>
          </w:p>
        </w:tc>
      </w:tr>
      <w:tr w:rsidR="000C24C5" w:rsidRPr="000E5745" w14:paraId="3AF381AD" w14:textId="77777777" w:rsidTr="00E5596B">
        <w:trPr>
          <w:cantSplit/>
          <w:trHeight w:val="255"/>
        </w:trPr>
        <w:tc>
          <w:tcPr>
            <w:tcW w:w="2449" w:type="dxa"/>
            <w:vMerge/>
            <w:shd w:val="clear" w:color="auto" w:fill="9CC2E5" w:themeFill="accent1" w:themeFillTint="99"/>
            <w:vAlign w:val="center"/>
          </w:tcPr>
          <w:p w14:paraId="38228B71" w14:textId="77777777" w:rsidR="000C24C5" w:rsidRPr="000E5745" w:rsidRDefault="000C24C5" w:rsidP="00AB338D">
            <w:pPr>
              <w:pStyle w:val="texto"/>
              <w:tabs>
                <w:tab w:val="clear" w:pos="2835"/>
                <w:tab w:val="clear" w:pos="3969"/>
                <w:tab w:val="clear" w:pos="5103"/>
                <w:tab w:val="clear" w:pos="6237"/>
                <w:tab w:val="clear" w:pos="7371"/>
              </w:tabs>
              <w:ind w:firstLine="0"/>
              <w:rPr>
                <w:rFonts w:ascii="Arial" w:hAnsi="Arial" w:cs="Arial"/>
                <w:sz w:val="18"/>
                <w:szCs w:val="18"/>
              </w:rPr>
            </w:pPr>
          </w:p>
        </w:tc>
        <w:tc>
          <w:tcPr>
            <w:tcW w:w="1232" w:type="dxa"/>
            <w:shd w:val="clear" w:color="auto" w:fill="9CC2E5" w:themeFill="accent1" w:themeFillTint="99"/>
            <w:vAlign w:val="center"/>
          </w:tcPr>
          <w:p w14:paraId="204C469E" w14:textId="77777777" w:rsidR="000C24C5" w:rsidRPr="000E5745" w:rsidRDefault="000C24C5" w:rsidP="00AB338D">
            <w:pPr>
              <w:pStyle w:val="texto"/>
              <w:tabs>
                <w:tab w:val="clear" w:pos="2835"/>
                <w:tab w:val="clear" w:pos="3969"/>
                <w:tab w:val="clear" w:pos="5103"/>
                <w:tab w:val="clear" w:pos="6237"/>
                <w:tab w:val="clear" w:pos="7371"/>
              </w:tabs>
              <w:ind w:firstLine="0"/>
              <w:jc w:val="right"/>
              <w:rPr>
                <w:rFonts w:ascii="Arial" w:hAnsi="Arial" w:cs="Arial"/>
                <w:sz w:val="18"/>
                <w:szCs w:val="18"/>
              </w:rPr>
            </w:pPr>
            <w:r>
              <w:rPr>
                <w:rFonts w:ascii="Arial" w:hAnsi="Arial" w:cs="Arial"/>
                <w:sz w:val="18"/>
                <w:szCs w:val="18"/>
              </w:rPr>
              <w:t>2019</w:t>
            </w:r>
          </w:p>
        </w:tc>
        <w:tc>
          <w:tcPr>
            <w:tcW w:w="1232" w:type="dxa"/>
            <w:shd w:val="clear" w:color="auto" w:fill="9CC2E5" w:themeFill="accent1" w:themeFillTint="99"/>
            <w:vAlign w:val="center"/>
          </w:tcPr>
          <w:p w14:paraId="293DE9B3" w14:textId="77777777" w:rsidR="000C24C5" w:rsidRPr="000E5745" w:rsidRDefault="000C24C5" w:rsidP="00AB338D">
            <w:pPr>
              <w:pStyle w:val="texto"/>
              <w:tabs>
                <w:tab w:val="clear" w:pos="2835"/>
                <w:tab w:val="clear" w:pos="3969"/>
                <w:tab w:val="clear" w:pos="5103"/>
                <w:tab w:val="clear" w:pos="6237"/>
                <w:tab w:val="clear" w:pos="7371"/>
              </w:tabs>
              <w:ind w:firstLine="0"/>
              <w:jc w:val="right"/>
              <w:rPr>
                <w:rFonts w:ascii="Arial" w:hAnsi="Arial" w:cs="Arial"/>
                <w:sz w:val="18"/>
                <w:szCs w:val="18"/>
              </w:rPr>
            </w:pPr>
            <w:r>
              <w:rPr>
                <w:rFonts w:ascii="Arial" w:hAnsi="Arial" w:cs="Arial"/>
                <w:sz w:val="18"/>
                <w:szCs w:val="18"/>
              </w:rPr>
              <w:t>2020</w:t>
            </w:r>
          </w:p>
        </w:tc>
        <w:tc>
          <w:tcPr>
            <w:tcW w:w="1249" w:type="dxa"/>
            <w:shd w:val="clear" w:color="auto" w:fill="9CC2E5" w:themeFill="accent1" w:themeFillTint="99"/>
            <w:vAlign w:val="center"/>
          </w:tcPr>
          <w:p w14:paraId="473B4AC0" w14:textId="77777777" w:rsidR="000C24C5" w:rsidRPr="000E5745" w:rsidRDefault="000C24C5" w:rsidP="00AB338D">
            <w:pPr>
              <w:pStyle w:val="texto"/>
              <w:tabs>
                <w:tab w:val="clear" w:pos="2835"/>
                <w:tab w:val="clear" w:pos="3969"/>
                <w:tab w:val="clear" w:pos="5103"/>
                <w:tab w:val="clear" w:pos="6237"/>
                <w:tab w:val="clear" w:pos="7371"/>
              </w:tabs>
              <w:ind w:firstLine="0"/>
              <w:jc w:val="right"/>
              <w:rPr>
                <w:rFonts w:ascii="Arial" w:hAnsi="Arial" w:cs="Arial"/>
                <w:sz w:val="18"/>
                <w:szCs w:val="18"/>
              </w:rPr>
            </w:pPr>
            <w:r>
              <w:rPr>
                <w:rFonts w:ascii="Arial" w:hAnsi="Arial" w:cs="Arial"/>
                <w:sz w:val="18"/>
                <w:szCs w:val="18"/>
              </w:rPr>
              <w:t>2021</w:t>
            </w:r>
          </w:p>
        </w:tc>
        <w:tc>
          <w:tcPr>
            <w:tcW w:w="1228" w:type="dxa"/>
            <w:shd w:val="clear" w:color="auto" w:fill="9CC2E5" w:themeFill="accent1" w:themeFillTint="99"/>
            <w:vAlign w:val="center"/>
          </w:tcPr>
          <w:p w14:paraId="48AF6F9B" w14:textId="77777777" w:rsidR="000C24C5" w:rsidRPr="000E5745" w:rsidRDefault="000C24C5" w:rsidP="00AB338D">
            <w:pPr>
              <w:pStyle w:val="texto"/>
              <w:tabs>
                <w:tab w:val="clear" w:pos="2835"/>
                <w:tab w:val="clear" w:pos="3969"/>
                <w:tab w:val="clear" w:pos="5103"/>
                <w:tab w:val="clear" w:pos="6237"/>
                <w:tab w:val="clear" w:pos="7371"/>
              </w:tabs>
              <w:ind w:firstLine="0"/>
              <w:jc w:val="right"/>
              <w:rPr>
                <w:rFonts w:ascii="Arial" w:hAnsi="Arial" w:cs="Arial"/>
                <w:sz w:val="18"/>
                <w:szCs w:val="18"/>
              </w:rPr>
            </w:pPr>
            <w:r>
              <w:rPr>
                <w:rFonts w:ascii="Arial" w:hAnsi="Arial" w:cs="Arial"/>
                <w:sz w:val="18"/>
                <w:szCs w:val="18"/>
              </w:rPr>
              <w:t>2022</w:t>
            </w:r>
          </w:p>
        </w:tc>
        <w:tc>
          <w:tcPr>
            <w:tcW w:w="1228" w:type="dxa"/>
            <w:shd w:val="clear" w:color="auto" w:fill="9CC2E5" w:themeFill="accent1" w:themeFillTint="99"/>
            <w:vAlign w:val="center"/>
          </w:tcPr>
          <w:p w14:paraId="0D596E92" w14:textId="77777777" w:rsidR="000C24C5" w:rsidRPr="000E5745" w:rsidRDefault="000C24C5" w:rsidP="00AB338D">
            <w:pPr>
              <w:pStyle w:val="texto"/>
              <w:tabs>
                <w:tab w:val="clear" w:pos="2835"/>
                <w:tab w:val="clear" w:pos="3969"/>
                <w:tab w:val="clear" w:pos="5103"/>
                <w:tab w:val="clear" w:pos="6237"/>
                <w:tab w:val="clear" w:pos="7371"/>
              </w:tabs>
              <w:ind w:firstLine="0"/>
              <w:jc w:val="right"/>
              <w:rPr>
                <w:rFonts w:ascii="Arial" w:hAnsi="Arial" w:cs="Arial"/>
                <w:sz w:val="18"/>
                <w:szCs w:val="18"/>
              </w:rPr>
            </w:pPr>
            <w:r>
              <w:rPr>
                <w:rFonts w:ascii="Arial" w:hAnsi="Arial" w:cs="Arial"/>
                <w:sz w:val="18"/>
                <w:szCs w:val="18"/>
              </w:rPr>
              <w:t>2023</w:t>
            </w:r>
          </w:p>
        </w:tc>
      </w:tr>
      <w:tr w:rsidR="000C24C5" w:rsidRPr="007E24ED" w14:paraId="246F914F" w14:textId="77777777" w:rsidTr="006E53FB">
        <w:trPr>
          <w:cantSplit/>
          <w:trHeight w:val="198"/>
        </w:trPr>
        <w:tc>
          <w:tcPr>
            <w:tcW w:w="2449" w:type="dxa"/>
            <w:tcBorders>
              <w:bottom w:val="single" w:sz="2" w:space="0" w:color="auto"/>
            </w:tcBorders>
            <w:vAlign w:val="center"/>
          </w:tcPr>
          <w:p w14:paraId="2AC28AE3" w14:textId="77777777" w:rsidR="000C24C5" w:rsidRPr="007E24ED" w:rsidRDefault="000C24C5" w:rsidP="00AB338D">
            <w:pPr>
              <w:pStyle w:val="texto"/>
              <w:tabs>
                <w:tab w:val="clear" w:pos="2835"/>
                <w:tab w:val="clear" w:pos="3969"/>
                <w:tab w:val="clear" w:pos="5103"/>
                <w:tab w:val="clear" w:pos="6237"/>
                <w:tab w:val="clear" w:pos="7371"/>
              </w:tabs>
              <w:ind w:firstLine="0"/>
              <w:rPr>
                <w:rFonts w:ascii="Arial Narrow" w:hAnsi="Arial Narrow"/>
                <w:sz w:val="20"/>
                <w:szCs w:val="20"/>
              </w:rPr>
            </w:pPr>
            <w:r w:rsidRPr="007E24ED">
              <w:rPr>
                <w:rFonts w:ascii="Arial Narrow" w:hAnsi="Arial Narrow"/>
                <w:sz w:val="20"/>
                <w:szCs w:val="20"/>
              </w:rPr>
              <w:t>Pamplona</w:t>
            </w:r>
          </w:p>
        </w:tc>
        <w:tc>
          <w:tcPr>
            <w:tcW w:w="1232" w:type="dxa"/>
            <w:tcBorders>
              <w:bottom w:val="single" w:sz="2" w:space="0" w:color="auto"/>
            </w:tcBorders>
            <w:vAlign w:val="bottom"/>
          </w:tcPr>
          <w:p w14:paraId="0456F36C"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6,7</w:t>
            </w:r>
          </w:p>
        </w:tc>
        <w:tc>
          <w:tcPr>
            <w:tcW w:w="1232" w:type="dxa"/>
            <w:tcBorders>
              <w:bottom w:val="single" w:sz="2" w:space="0" w:color="auto"/>
            </w:tcBorders>
            <w:vAlign w:val="bottom"/>
          </w:tcPr>
          <w:p w14:paraId="16C51841" w14:textId="77777777" w:rsidR="000C24C5" w:rsidRPr="007E24ED" w:rsidRDefault="000C24C5" w:rsidP="00AB338D">
            <w:pPr>
              <w:jc w:val="right"/>
              <w:rPr>
                <w:rFonts w:ascii="Arial Narrow" w:hAnsi="Arial Narrow" w:cs="Calibri"/>
                <w:sz w:val="20"/>
                <w:szCs w:val="20"/>
              </w:rPr>
            </w:pPr>
            <w:r w:rsidRPr="007E24ED">
              <w:rPr>
                <w:rFonts w:ascii="Arial Narrow" w:hAnsi="Arial Narrow" w:cs="Calibri"/>
                <w:sz w:val="20"/>
                <w:szCs w:val="20"/>
              </w:rPr>
              <w:t>6</w:t>
            </w:r>
            <w:r>
              <w:rPr>
                <w:rFonts w:ascii="Arial Narrow" w:hAnsi="Arial Narrow" w:cs="Calibri"/>
                <w:sz w:val="20"/>
                <w:szCs w:val="20"/>
              </w:rPr>
              <w:t>,9</w:t>
            </w:r>
          </w:p>
        </w:tc>
        <w:tc>
          <w:tcPr>
            <w:tcW w:w="1249" w:type="dxa"/>
            <w:tcBorders>
              <w:bottom w:val="single" w:sz="2" w:space="0" w:color="auto"/>
            </w:tcBorders>
            <w:vAlign w:val="bottom"/>
          </w:tcPr>
          <w:p w14:paraId="22403AED"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7,5</w:t>
            </w:r>
          </w:p>
        </w:tc>
        <w:tc>
          <w:tcPr>
            <w:tcW w:w="1228" w:type="dxa"/>
            <w:tcBorders>
              <w:bottom w:val="single" w:sz="2" w:space="0" w:color="auto"/>
            </w:tcBorders>
            <w:vAlign w:val="bottom"/>
          </w:tcPr>
          <w:p w14:paraId="15214A40"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6,8</w:t>
            </w:r>
          </w:p>
        </w:tc>
        <w:tc>
          <w:tcPr>
            <w:tcW w:w="1228" w:type="dxa"/>
            <w:tcBorders>
              <w:bottom w:val="single" w:sz="2" w:space="0" w:color="auto"/>
            </w:tcBorders>
            <w:vAlign w:val="bottom"/>
          </w:tcPr>
          <w:p w14:paraId="392A3CE9"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6,3</w:t>
            </w:r>
          </w:p>
        </w:tc>
      </w:tr>
      <w:tr w:rsidR="000C24C5" w:rsidRPr="007E24ED" w14:paraId="185C999B" w14:textId="77777777" w:rsidTr="008A58AD">
        <w:trPr>
          <w:cantSplit/>
          <w:trHeight w:val="198"/>
        </w:trPr>
        <w:tc>
          <w:tcPr>
            <w:tcW w:w="2449" w:type="dxa"/>
            <w:tcBorders>
              <w:top w:val="single" w:sz="2" w:space="0" w:color="auto"/>
              <w:bottom w:val="single" w:sz="2" w:space="0" w:color="auto"/>
            </w:tcBorders>
            <w:vAlign w:val="center"/>
          </w:tcPr>
          <w:p w14:paraId="6726554B" w14:textId="77777777" w:rsidR="000C24C5" w:rsidRPr="007E24ED" w:rsidRDefault="000C24C5" w:rsidP="00AB338D">
            <w:pPr>
              <w:pStyle w:val="texto"/>
              <w:tabs>
                <w:tab w:val="clear" w:pos="2835"/>
                <w:tab w:val="clear" w:pos="3969"/>
                <w:tab w:val="clear" w:pos="5103"/>
                <w:tab w:val="clear" w:pos="6237"/>
                <w:tab w:val="clear" w:pos="7371"/>
              </w:tabs>
              <w:ind w:firstLine="0"/>
              <w:rPr>
                <w:rFonts w:ascii="Arial Narrow" w:hAnsi="Arial Narrow"/>
                <w:sz w:val="20"/>
                <w:szCs w:val="20"/>
              </w:rPr>
            </w:pPr>
            <w:r w:rsidRPr="007E24ED">
              <w:rPr>
                <w:rFonts w:ascii="Arial Narrow" w:hAnsi="Arial Narrow"/>
                <w:sz w:val="20"/>
                <w:szCs w:val="20"/>
              </w:rPr>
              <w:t>Tudela</w:t>
            </w:r>
          </w:p>
        </w:tc>
        <w:tc>
          <w:tcPr>
            <w:tcW w:w="1232" w:type="dxa"/>
            <w:tcBorders>
              <w:top w:val="single" w:sz="2" w:space="0" w:color="auto"/>
              <w:bottom w:val="single" w:sz="2" w:space="0" w:color="auto"/>
            </w:tcBorders>
            <w:vAlign w:val="bottom"/>
          </w:tcPr>
          <w:p w14:paraId="44A31708"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9,4</w:t>
            </w:r>
          </w:p>
        </w:tc>
        <w:tc>
          <w:tcPr>
            <w:tcW w:w="1232" w:type="dxa"/>
            <w:tcBorders>
              <w:top w:val="single" w:sz="2" w:space="0" w:color="auto"/>
              <w:bottom w:val="single" w:sz="2" w:space="0" w:color="auto"/>
            </w:tcBorders>
            <w:vAlign w:val="bottom"/>
          </w:tcPr>
          <w:p w14:paraId="3FB76041"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9,6</w:t>
            </w:r>
          </w:p>
        </w:tc>
        <w:tc>
          <w:tcPr>
            <w:tcW w:w="1249" w:type="dxa"/>
            <w:tcBorders>
              <w:top w:val="single" w:sz="2" w:space="0" w:color="auto"/>
              <w:bottom w:val="single" w:sz="2" w:space="0" w:color="auto"/>
            </w:tcBorders>
            <w:vAlign w:val="bottom"/>
          </w:tcPr>
          <w:p w14:paraId="78F468FD"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10,4</w:t>
            </w:r>
          </w:p>
        </w:tc>
        <w:tc>
          <w:tcPr>
            <w:tcW w:w="1228" w:type="dxa"/>
            <w:tcBorders>
              <w:top w:val="single" w:sz="2" w:space="0" w:color="auto"/>
              <w:bottom w:val="single" w:sz="2" w:space="0" w:color="auto"/>
            </w:tcBorders>
            <w:vAlign w:val="bottom"/>
          </w:tcPr>
          <w:p w14:paraId="536CA7C6"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9,7</w:t>
            </w:r>
          </w:p>
        </w:tc>
        <w:tc>
          <w:tcPr>
            <w:tcW w:w="1228" w:type="dxa"/>
            <w:tcBorders>
              <w:top w:val="single" w:sz="2" w:space="0" w:color="auto"/>
              <w:bottom w:val="single" w:sz="2" w:space="0" w:color="auto"/>
            </w:tcBorders>
            <w:vAlign w:val="bottom"/>
          </w:tcPr>
          <w:p w14:paraId="0A6D2622"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8,8</w:t>
            </w:r>
          </w:p>
        </w:tc>
      </w:tr>
      <w:tr w:rsidR="000C24C5" w:rsidRPr="007E24ED" w14:paraId="6D1E814D" w14:textId="77777777" w:rsidTr="008A58AD">
        <w:trPr>
          <w:cantSplit/>
          <w:trHeight w:val="198"/>
        </w:trPr>
        <w:tc>
          <w:tcPr>
            <w:tcW w:w="2449" w:type="dxa"/>
            <w:tcBorders>
              <w:top w:val="single" w:sz="2" w:space="0" w:color="auto"/>
              <w:bottom w:val="single" w:sz="2" w:space="0" w:color="auto"/>
            </w:tcBorders>
            <w:vAlign w:val="center"/>
          </w:tcPr>
          <w:p w14:paraId="337D8C14" w14:textId="77777777" w:rsidR="000C24C5" w:rsidRPr="007E24ED" w:rsidRDefault="000C24C5" w:rsidP="00AB338D">
            <w:pPr>
              <w:pStyle w:val="texto"/>
              <w:tabs>
                <w:tab w:val="clear" w:pos="2835"/>
                <w:tab w:val="clear" w:pos="3969"/>
                <w:tab w:val="clear" w:pos="5103"/>
                <w:tab w:val="clear" w:pos="6237"/>
                <w:tab w:val="clear" w:pos="7371"/>
              </w:tabs>
              <w:ind w:firstLine="0"/>
              <w:rPr>
                <w:rFonts w:ascii="Arial Narrow" w:hAnsi="Arial Narrow"/>
                <w:sz w:val="20"/>
                <w:szCs w:val="20"/>
              </w:rPr>
            </w:pPr>
            <w:r w:rsidRPr="007E24ED">
              <w:rPr>
                <w:rFonts w:ascii="Arial Narrow" w:hAnsi="Arial Narrow"/>
                <w:sz w:val="20"/>
                <w:szCs w:val="20"/>
              </w:rPr>
              <w:t>Estella</w:t>
            </w:r>
          </w:p>
        </w:tc>
        <w:tc>
          <w:tcPr>
            <w:tcW w:w="1232" w:type="dxa"/>
            <w:tcBorders>
              <w:top w:val="single" w:sz="2" w:space="0" w:color="auto"/>
              <w:bottom w:val="single" w:sz="2" w:space="0" w:color="auto"/>
            </w:tcBorders>
            <w:vAlign w:val="bottom"/>
          </w:tcPr>
          <w:p w14:paraId="72739AA7" w14:textId="77777777" w:rsidR="000C24C5" w:rsidRPr="007E24ED" w:rsidRDefault="000C24C5" w:rsidP="00AB338D">
            <w:pPr>
              <w:jc w:val="right"/>
              <w:rPr>
                <w:rFonts w:ascii="Arial Narrow" w:hAnsi="Arial Narrow" w:cs="Calibri"/>
                <w:sz w:val="20"/>
                <w:szCs w:val="20"/>
              </w:rPr>
            </w:pPr>
            <w:r w:rsidRPr="007E24ED">
              <w:rPr>
                <w:rFonts w:ascii="Arial Narrow" w:hAnsi="Arial Narrow" w:cs="Calibri"/>
                <w:sz w:val="20"/>
                <w:szCs w:val="20"/>
              </w:rPr>
              <w:t>7,6</w:t>
            </w:r>
          </w:p>
        </w:tc>
        <w:tc>
          <w:tcPr>
            <w:tcW w:w="1232" w:type="dxa"/>
            <w:tcBorders>
              <w:top w:val="single" w:sz="2" w:space="0" w:color="auto"/>
              <w:bottom w:val="single" w:sz="2" w:space="0" w:color="auto"/>
            </w:tcBorders>
            <w:vAlign w:val="bottom"/>
          </w:tcPr>
          <w:p w14:paraId="5800EC22"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8,4</w:t>
            </w:r>
          </w:p>
        </w:tc>
        <w:tc>
          <w:tcPr>
            <w:tcW w:w="1249" w:type="dxa"/>
            <w:tcBorders>
              <w:top w:val="single" w:sz="2" w:space="0" w:color="auto"/>
              <w:bottom w:val="single" w:sz="2" w:space="0" w:color="auto"/>
            </w:tcBorders>
            <w:vAlign w:val="bottom"/>
          </w:tcPr>
          <w:p w14:paraId="366FAABF"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9,1</w:t>
            </w:r>
          </w:p>
        </w:tc>
        <w:tc>
          <w:tcPr>
            <w:tcW w:w="1228" w:type="dxa"/>
            <w:tcBorders>
              <w:top w:val="single" w:sz="2" w:space="0" w:color="auto"/>
              <w:bottom w:val="single" w:sz="2" w:space="0" w:color="auto"/>
            </w:tcBorders>
            <w:vAlign w:val="bottom"/>
          </w:tcPr>
          <w:p w14:paraId="74F6256B"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8,4</w:t>
            </w:r>
          </w:p>
        </w:tc>
        <w:tc>
          <w:tcPr>
            <w:tcW w:w="1228" w:type="dxa"/>
            <w:tcBorders>
              <w:top w:val="single" w:sz="2" w:space="0" w:color="auto"/>
              <w:bottom w:val="single" w:sz="2" w:space="0" w:color="auto"/>
            </w:tcBorders>
            <w:vAlign w:val="bottom"/>
          </w:tcPr>
          <w:p w14:paraId="22067761"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7,6</w:t>
            </w:r>
          </w:p>
        </w:tc>
      </w:tr>
      <w:tr w:rsidR="000C24C5" w:rsidRPr="007E24ED" w14:paraId="77847462" w14:textId="77777777" w:rsidTr="008A58AD">
        <w:trPr>
          <w:cantSplit/>
          <w:trHeight w:val="198"/>
        </w:trPr>
        <w:tc>
          <w:tcPr>
            <w:tcW w:w="2449" w:type="dxa"/>
            <w:tcBorders>
              <w:top w:val="single" w:sz="2" w:space="0" w:color="auto"/>
              <w:bottom w:val="single" w:sz="2" w:space="0" w:color="auto"/>
            </w:tcBorders>
            <w:vAlign w:val="center"/>
          </w:tcPr>
          <w:p w14:paraId="46536899" w14:textId="77777777" w:rsidR="000C24C5" w:rsidRPr="007E24ED" w:rsidRDefault="000C24C5" w:rsidP="00AB338D">
            <w:pPr>
              <w:pStyle w:val="texto"/>
              <w:tabs>
                <w:tab w:val="clear" w:pos="2835"/>
                <w:tab w:val="clear" w:pos="3969"/>
                <w:tab w:val="clear" w:pos="5103"/>
                <w:tab w:val="clear" w:pos="6237"/>
                <w:tab w:val="clear" w:pos="7371"/>
              </w:tabs>
              <w:ind w:firstLine="0"/>
              <w:rPr>
                <w:rFonts w:ascii="Arial Narrow" w:hAnsi="Arial Narrow"/>
                <w:sz w:val="20"/>
                <w:szCs w:val="20"/>
              </w:rPr>
            </w:pPr>
            <w:r w:rsidRPr="007E24ED">
              <w:rPr>
                <w:rFonts w:ascii="Arial Narrow" w:hAnsi="Arial Narrow"/>
                <w:sz w:val="20"/>
                <w:szCs w:val="20"/>
              </w:rPr>
              <w:t>Noroeste</w:t>
            </w:r>
          </w:p>
        </w:tc>
        <w:tc>
          <w:tcPr>
            <w:tcW w:w="1232" w:type="dxa"/>
            <w:tcBorders>
              <w:top w:val="single" w:sz="2" w:space="0" w:color="auto"/>
              <w:bottom w:val="single" w:sz="2" w:space="0" w:color="auto"/>
            </w:tcBorders>
            <w:vAlign w:val="bottom"/>
          </w:tcPr>
          <w:p w14:paraId="08E098B7"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3,2</w:t>
            </w:r>
          </w:p>
        </w:tc>
        <w:tc>
          <w:tcPr>
            <w:tcW w:w="1232" w:type="dxa"/>
            <w:tcBorders>
              <w:top w:val="single" w:sz="2" w:space="0" w:color="auto"/>
              <w:bottom w:val="single" w:sz="2" w:space="0" w:color="auto"/>
            </w:tcBorders>
            <w:vAlign w:val="bottom"/>
          </w:tcPr>
          <w:p w14:paraId="2B4F63DF"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3,5</w:t>
            </w:r>
          </w:p>
        </w:tc>
        <w:tc>
          <w:tcPr>
            <w:tcW w:w="1249" w:type="dxa"/>
            <w:tcBorders>
              <w:top w:val="single" w:sz="2" w:space="0" w:color="auto"/>
              <w:bottom w:val="single" w:sz="2" w:space="0" w:color="auto"/>
            </w:tcBorders>
            <w:vAlign w:val="bottom"/>
          </w:tcPr>
          <w:p w14:paraId="1FB72F1D"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3,8</w:t>
            </w:r>
          </w:p>
        </w:tc>
        <w:tc>
          <w:tcPr>
            <w:tcW w:w="1228" w:type="dxa"/>
            <w:tcBorders>
              <w:top w:val="single" w:sz="2" w:space="0" w:color="auto"/>
              <w:bottom w:val="single" w:sz="2" w:space="0" w:color="auto"/>
            </w:tcBorders>
            <w:vAlign w:val="bottom"/>
          </w:tcPr>
          <w:p w14:paraId="519741DA"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3,5</w:t>
            </w:r>
          </w:p>
        </w:tc>
        <w:tc>
          <w:tcPr>
            <w:tcW w:w="1228" w:type="dxa"/>
            <w:tcBorders>
              <w:top w:val="single" w:sz="2" w:space="0" w:color="auto"/>
              <w:bottom w:val="single" w:sz="2" w:space="0" w:color="auto"/>
            </w:tcBorders>
            <w:vAlign w:val="bottom"/>
          </w:tcPr>
          <w:p w14:paraId="32C62BA0"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3,0</w:t>
            </w:r>
          </w:p>
        </w:tc>
      </w:tr>
      <w:tr w:rsidR="000C24C5" w:rsidRPr="007E24ED" w14:paraId="6C5DACDA" w14:textId="77777777" w:rsidTr="008A58AD">
        <w:trPr>
          <w:cantSplit/>
          <w:trHeight w:val="198"/>
        </w:trPr>
        <w:tc>
          <w:tcPr>
            <w:tcW w:w="2449" w:type="dxa"/>
            <w:tcBorders>
              <w:top w:val="single" w:sz="2" w:space="0" w:color="auto"/>
              <w:bottom w:val="single" w:sz="2" w:space="0" w:color="auto"/>
            </w:tcBorders>
            <w:vAlign w:val="center"/>
          </w:tcPr>
          <w:p w14:paraId="2F71DCF2" w14:textId="77777777" w:rsidR="000C24C5" w:rsidRPr="007E24ED" w:rsidRDefault="000C24C5" w:rsidP="00AB338D">
            <w:pPr>
              <w:pStyle w:val="texto"/>
              <w:tabs>
                <w:tab w:val="clear" w:pos="2835"/>
                <w:tab w:val="clear" w:pos="3969"/>
                <w:tab w:val="clear" w:pos="5103"/>
                <w:tab w:val="clear" w:pos="6237"/>
                <w:tab w:val="clear" w:pos="7371"/>
              </w:tabs>
              <w:ind w:firstLine="0"/>
              <w:rPr>
                <w:rFonts w:ascii="Arial Narrow" w:hAnsi="Arial Narrow"/>
                <w:sz w:val="20"/>
                <w:szCs w:val="20"/>
              </w:rPr>
            </w:pPr>
            <w:r w:rsidRPr="007E24ED">
              <w:rPr>
                <w:rFonts w:ascii="Arial Narrow" w:hAnsi="Arial Narrow"/>
                <w:sz w:val="20"/>
                <w:szCs w:val="20"/>
              </w:rPr>
              <w:t>Tafalla</w:t>
            </w:r>
          </w:p>
        </w:tc>
        <w:tc>
          <w:tcPr>
            <w:tcW w:w="1232" w:type="dxa"/>
            <w:tcBorders>
              <w:top w:val="single" w:sz="2" w:space="0" w:color="auto"/>
              <w:bottom w:val="single" w:sz="2" w:space="0" w:color="auto"/>
            </w:tcBorders>
            <w:vAlign w:val="bottom"/>
          </w:tcPr>
          <w:p w14:paraId="3E3607CE"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7,2</w:t>
            </w:r>
          </w:p>
        </w:tc>
        <w:tc>
          <w:tcPr>
            <w:tcW w:w="1232" w:type="dxa"/>
            <w:tcBorders>
              <w:top w:val="single" w:sz="2" w:space="0" w:color="auto"/>
              <w:bottom w:val="single" w:sz="2" w:space="0" w:color="auto"/>
            </w:tcBorders>
            <w:vAlign w:val="bottom"/>
          </w:tcPr>
          <w:p w14:paraId="39D64626"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7,3</w:t>
            </w:r>
          </w:p>
        </w:tc>
        <w:tc>
          <w:tcPr>
            <w:tcW w:w="1249" w:type="dxa"/>
            <w:tcBorders>
              <w:top w:val="single" w:sz="2" w:space="0" w:color="auto"/>
              <w:bottom w:val="single" w:sz="2" w:space="0" w:color="auto"/>
            </w:tcBorders>
            <w:vAlign w:val="bottom"/>
          </w:tcPr>
          <w:p w14:paraId="6C4DF140"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7,4</w:t>
            </w:r>
          </w:p>
        </w:tc>
        <w:tc>
          <w:tcPr>
            <w:tcW w:w="1228" w:type="dxa"/>
            <w:tcBorders>
              <w:top w:val="single" w:sz="2" w:space="0" w:color="auto"/>
              <w:bottom w:val="single" w:sz="2" w:space="0" w:color="auto"/>
            </w:tcBorders>
            <w:vAlign w:val="bottom"/>
          </w:tcPr>
          <w:p w14:paraId="052D0F1A"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6,7</w:t>
            </w:r>
          </w:p>
        </w:tc>
        <w:tc>
          <w:tcPr>
            <w:tcW w:w="1228" w:type="dxa"/>
            <w:tcBorders>
              <w:top w:val="single" w:sz="2" w:space="0" w:color="auto"/>
              <w:bottom w:val="single" w:sz="2" w:space="0" w:color="auto"/>
            </w:tcBorders>
            <w:vAlign w:val="bottom"/>
          </w:tcPr>
          <w:p w14:paraId="2CA90CD2"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6,3</w:t>
            </w:r>
          </w:p>
        </w:tc>
      </w:tr>
      <w:tr w:rsidR="000C24C5" w:rsidRPr="007E24ED" w14:paraId="3A7DD65E" w14:textId="77777777" w:rsidTr="008A58AD">
        <w:trPr>
          <w:cantSplit/>
          <w:trHeight w:val="198"/>
        </w:trPr>
        <w:tc>
          <w:tcPr>
            <w:tcW w:w="2449" w:type="dxa"/>
            <w:tcBorders>
              <w:top w:val="single" w:sz="2" w:space="0" w:color="auto"/>
              <w:bottom w:val="single" w:sz="4" w:space="0" w:color="auto"/>
            </w:tcBorders>
            <w:vAlign w:val="center"/>
          </w:tcPr>
          <w:p w14:paraId="60BD1BDB" w14:textId="77777777" w:rsidR="000C24C5" w:rsidRPr="007E24ED" w:rsidRDefault="000C24C5" w:rsidP="00AB338D">
            <w:pPr>
              <w:pStyle w:val="texto"/>
              <w:tabs>
                <w:tab w:val="clear" w:pos="2835"/>
                <w:tab w:val="clear" w:pos="3969"/>
                <w:tab w:val="clear" w:pos="5103"/>
                <w:tab w:val="clear" w:pos="6237"/>
                <w:tab w:val="clear" w:pos="7371"/>
              </w:tabs>
              <w:ind w:firstLine="0"/>
              <w:rPr>
                <w:rFonts w:ascii="Arial Narrow" w:hAnsi="Arial Narrow"/>
                <w:sz w:val="20"/>
                <w:szCs w:val="20"/>
              </w:rPr>
            </w:pPr>
            <w:r w:rsidRPr="007E24ED">
              <w:rPr>
                <w:rFonts w:ascii="Arial Narrow" w:hAnsi="Arial Narrow"/>
                <w:sz w:val="20"/>
                <w:szCs w:val="20"/>
              </w:rPr>
              <w:t>Noreste</w:t>
            </w:r>
          </w:p>
        </w:tc>
        <w:tc>
          <w:tcPr>
            <w:tcW w:w="1232" w:type="dxa"/>
            <w:tcBorders>
              <w:top w:val="single" w:sz="2" w:space="0" w:color="auto"/>
              <w:bottom w:val="single" w:sz="4" w:space="0" w:color="auto"/>
            </w:tcBorders>
            <w:vAlign w:val="bottom"/>
          </w:tcPr>
          <w:p w14:paraId="51E299B8" w14:textId="77777777" w:rsidR="000C24C5" w:rsidRPr="007E24ED" w:rsidRDefault="000C24C5" w:rsidP="00AB338D">
            <w:pPr>
              <w:jc w:val="right"/>
              <w:rPr>
                <w:rFonts w:ascii="Arial Narrow" w:hAnsi="Arial Narrow" w:cs="Calibri"/>
                <w:sz w:val="20"/>
                <w:szCs w:val="20"/>
              </w:rPr>
            </w:pPr>
            <w:r w:rsidRPr="007E24ED">
              <w:rPr>
                <w:rFonts w:ascii="Arial Narrow" w:hAnsi="Arial Narrow" w:cs="Calibri"/>
                <w:sz w:val="20"/>
                <w:szCs w:val="20"/>
              </w:rPr>
              <w:t>2,</w:t>
            </w:r>
            <w:r>
              <w:rPr>
                <w:rFonts w:ascii="Arial Narrow" w:hAnsi="Arial Narrow" w:cs="Calibri"/>
                <w:sz w:val="20"/>
                <w:szCs w:val="20"/>
              </w:rPr>
              <w:t>9</w:t>
            </w:r>
          </w:p>
        </w:tc>
        <w:tc>
          <w:tcPr>
            <w:tcW w:w="1232" w:type="dxa"/>
            <w:tcBorders>
              <w:top w:val="single" w:sz="2" w:space="0" w:color="auto"/>
              <w:bottom w:val="single" w:sz="4" w:space="0" w:color="auto"/>
            </w:tcBorders>
            <w:vAlign w:val="bottom"/>
          </w:tcPr>
          <w:p w14:paraId="7D2FF6AA" w14:textId="77777777" w:rsidR="000C24C5" w:rsidRPr="007E24ED" w:rsidRDefault="000C24C5" w:rsidP="00AB338D">
            <w:pPr>
              <w:jc w:val="right"/>
              <w:rPr>
                <w:rFonts w:ascii="Arial Narrow" w:hAnsi="Arial Narrow" w:cs="Calibri"/>
                <w:sz w:val="20"/>
                <w:szCs w:val="20"/>
              </w:rPr>
            </w:pPr>
            <w:r w:rsidRPr="007E24ED">
              <w:rPr>
                <w:rFonts w:ascii="Arial Narrow" w:hAnsi="Arial Narrow" w:cs="Calibri"/>
                <w:sz w:val="20"/>
                <w:szCs w:val="20"/>
              </w:rPr>
              <w:t>3</w:t>
            </w:r>
            <w:r>
              <w:rPr>
                <w:rFonts w:ascii="Arial Narrow" w:hAnsi="Arial Narrow" w:cs="Calibri"/>
                <w:sz w:val="20"/>
                <w:szCs w:val="20"/>
              </w:rPr>
              <w:t>,6</w:t>
            </w:r>
          </w:p>
        </w:tc>
        <w:tc>
          <w:tcPr>
            <w:tcW w:w="1249" w:type="dxa"/>
            <w:tcBorders>
              <w:top w:val="single" w:sz="2" w:space="0" w:color="auto"/>
              <w:bottom w:val="single" w:sz="4" w:space="0" w:color="auto"/>
            </w:tcBorders>
            <w:vAlign w:val="bottom"/>
          </w:tcPr>
          <w:p w14:paraId="3416DB42" w14:textId="77777777" w:rsidR="000C24C5" w:rsidRPr="007E24ED" w:rsidRDefault="000C24C5" w:rsidP="00AB338D">
            <w:pPr>
              <w:jc w:val="right"/>
              <w:rPr>
                <w:rFonts w:ascii="Arial Narrow" w:hAnsi="Arial Narrow" w:cs="Calibri"/>
                <w:sz w:val="20"/>
                <w:szCs w:val="20"/>
              </w:rPr>
            </w:pPr>
            <w:r w:rsidRPr="007E24ED">
              <w:rPr>
                <w:rFonts w:ascii="Arial Narrow" w:hAnsi="Arial Narrow" w:cs="Calibri"/>
                <w:sz w:val="20"/>
                <w:szCs w:val="20"/>
              </w:rPr>
              <w:t>4,0</w:t>
            </w:r>
          </w:p>
        </w:tc>
        <w:tc>
          <w:tcPr>
            <w:tcW w:w="1228" w:type="dxa"/>
            <w:tcBorders>
              <w:top w:val="single" w:sz="2" w:space="0" w:color="auto"/>
              <w:bottom w:val="single" w:sz="4" w:space="0" w:color="auto"/>
            </w:tcBorders>
            <w:vAlign w:val="bottom"/>
          </w:tcPr>
          <w:p w14:paraId="6BE6446C"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3,9</w:t>
            </w:r>
          </w:p>
        </w:tc>
        <w:tc>
          <w:tcPr>
            <w:tcW w:w="1228" w:type="dxa"/>
            <w:tcBorders>
              <w:top w:val="single" w:sz="2" w:space="0" w:color="auto"/>
              <w:bottom w:val="single" w:sz="4" w:space="0" w:color="auto"/>
            </w:tcBorders>
            <w:vAlign w:val="bottom"/>
          </w:tcPr>
          <w:p w14:paraId="7BDBCE14" w14:textId="77777777" w:rsidR="000C24C5" w:rsidRPr="007E24ED" w:rsidRDefault="000C24C5" w:rsidP="00AB338D">
            <w:pPr>
              <w:jc w:val="right"/>
              <w:rPr>
                <w:rFonts w:ascii="Arial Narrow" w:hAnsi="Arial Narrow" w:cs="Calibri"/>
                <w:sz w:val="20"/>
                <w:szCs w:val="20"/>
              </w:rPr>
            </w:pPr>
            <w:r>
              <w:rPr>
                <w:rFonts w:ascii="Arial Narrow" w:hAnsi="Arial Narrow" w:cs="Calibri"/>
                <w:sz w:val="20"/>
                <w:szCs w:val="20"/>
              </w:rPr>
              <w:t>3,4</w:t>
            </w:r>
          </w:p>
        </w:tc>
      </w:tr>
      <w:tr w:rsidR="000C24C5" w:rsidRPr="00D60B62" w14:paraId="60892D72" w14:textId="77777777" w:rsidTr="00E5596B">
        <w:trPr>
          <w:cantSplit/>
          <w:trHeight w:val="255"/>
        </w:trPr>
        <w:tc>
          <w:tcPr>
            <w:tcW w:w="2449" w:type="dxa"/>
            <w:shd w:val="clear" w:color="auto" w:fill="9CC2E5" w:themeFill="accent1" w:themeFillTint="99"/>
            <w:vAlign w:val="center"/>
          </w:tcPr>
          <w:p w14:paraId="0895ACCB" w14:textId="77777777" w:rsidR="000C24C5" w:rsidRPr="00D60B62" w:rsidRDefault="000C24C5" w:rsidP="00AB338D">
            <w:pPr>
              <w:pStyle w:val="texto"/>
              <w:tabs>
                <w:tab w:val="clear" w:pos="2835"/>
                <w:tab w:val="clear" w:pos="3969"/>
                <w:tab w:val="clear" w:pos="5103"/>
                <w:tab w:val="clear" w:pos="6237"/>
                <w:tab w:val="clear" w:pos="7371"/>
              </w:tabs>
              <w:ind w:firstLine="0"/>
              <w:rPr>
                <w:rFonts w:ascii="Arial" w:hAnsi="Arial" w:cs="Arial"/>
                <w:sz w:val="18"/>
                <w:szCs w:val="18"/>
              </w:rPr>
            </w:pPr>
            <w:r w:rsidRPr="18FF00D8">
              <w:rPr>
                <w:rFonts w:ascii="Arial" w:hAnsi="Arial" w:cs="Arial"/>
                <w:sz w:val="18"/>
                <w:szCs w:val="18"/>
              </w:rPr>
              <w:t>Total Navarra</w:t>
            </w:r>
          </w:p>
        </w:tc>
        <w:tc>
          <w:tcPr>
            <w:tcW w:w="1232" w:type="dxa"/>
            <w:shd w:val="clear" w:color="auto" w:fill="9CC2E5" w:themeFill="accent1" w:themeFillTint="99"/>
            <w:vAlign w:val="center"/>
          </w:tcPr>
          <w:p w14:paraId="711296A6" w14:textId="77777777" w:rsidR="000C24C5" w:rsidRPr="00D60B62" w:rsidRDefault="000C24C5" w:rsidP="00AB338D">
            <w:pPr>
              <w:pStyle w:val="texto"/>
              <w:tabs>
                <w:tab w:val="clear" w:pos="2835"/>
                <w:tab w:val="clear" w:pos="3969"/>
                <w:tab w:val="clear" w:pos="5103"/>
                <w:tab w:val="clear" w:pos="6237"/>
                <w:tab w:val="clear" w:pos="7371"/>
              </w:tabs>
              <w:ind w:firstLine="0"/>
              <w:jc w:val="right"/>
              <w:rPr>
                <w:rFonts w:ascii="Arial" w:hAnsi="Arial" w:cs="Arial"/>
                <w:sz w:val="18"/>
                <w:szCs w:val="18"/>
              </w:rPr>
            </w:pPr>
            <w:r w:rsidRPr="00D60B62">
              <w:rPr>
                <w:rFonts w:ascii="Arial" w:hAnsi="Arial" w:cs="Arial"/>
                <w:sz w:val="18"/>
                <w:szCs w:val="18"/>
              </w:rPr>
              <w:t>6,</w:t>
            </w:r>
            <w:r>
              <w:rPr>
                <w:rFonts w:ascii="Arial" w:hAnsi="Arial" w:cs="Arial"/>
                <w:sz w:val="18"/>
                <w:szCs w:val="18"/>
              </w:rPr>
              <w:t>9</w:t>
            </w:r>
          </w:p>
        </w:tc>
        <w:tc>
          <w:tcPr>
            <w:tcW w:w="1232" w:type="dxa"/>
            <w:shd w:val="clear" w:color="auto" w:fill="9CC2E5" w:themeFill="accent1" w:themeFillTint="99"/>
            <w:vAlign w:val="center"/>
          </w:tcPr>
          <w:p w14:paraId="712A5344" w14:textId="77777777" w:rsidR="000C24C5" w:rsidRPr="00D60B62" w:rsidRDefault="000C24C5" w:rsidP="00AB338D">
            <w:pPr>
              <w:pStyle w:val="texto"/>
              <w:tabs>
                <w:tab w:val="clear" w:pos="2835"/>
                <w:tab w:val="clear" w:pos="3969"/>
                <w:tab w:val="clear" w:pos="5103"/>
                <w:tab w:val="clear" w:pos="6237"/>
                <w:tab w:val="clear" w:pos="7371"/>
              </w:tabs>
              <w:ind w:firstLine="0"/>
              <w:jc w:val="right"/>
              <w:rPr>
                <w:rFonts w:ascii="Arial" w:hAnsi="Arial" w:cs="Arial"/>
                <w:sz w:val="18"/>
                <w:szCs w:val="18"/>
              </w:rPr>
            </w:pPr>
            <w:r w:rsidRPr="00D60B62">
              <w:rPr>
                <w:rFonts w:ascii="Arial" w:hAnsi="Arial" w:cs="Arial"/>
                <w:sz w:val="18"/>
                <w:szCs w:val="18"/>
              </w:rPr>
              <w:t>7</w:t>
            </w:r>
            <w:r>
              <w:rPr>
                <w:rFonts w:ascii="Arial" w:hAnsi="Arial" w:cs="Arial"/>
                <w:sz w:val="18"/>
                <w:szCs w:val="18"/>
              </w:rPr>
              <w:t>,1</w:t>
            </w:r>
          </w:p>
        </w:tc>
        <w:tc>
          <w:tcPr>
            <w:tcW w:w="1249" w:type="dxa"/>
            <w:shd w:val="clear" w:color="auto" w:fill="9CC2E5" w:themeFill="accent1" w:themeFillTint="99"/>
            <w:vAlign w:val="center"/>
          </w:tcPr>
          <w:p w14:paraId="7FC9465E" w14:textId="77777777" w:rsidR="000C24C5" w:rsidRPr="00D60B62" w:rsidRDefault="000C24C5" w:rsidP="00AB338D">
            <w:pPr>
              <w:pStyle w:val="texto"/>
              <w:tabs>
                <w:tab w:val="clear" w:pos="2835"/>
                <w:tab w:val="clear" w:pos="3969"/>
                <w:tab w:val="clear" w:pos="5103"/>
                <w:tab w:val="clear" w:pos="6237"/>
                <w:tab w:val="clear" w:pos="7371"/>
              </w:tabs>
              <w:ind w:firstLine="0"/>
              <w:jc w:val="right"/>
              <w:rPr>
                <w:rFonts w:ascii="Arial" w:hAnsi="Arial" w:cs="Arial"/>
                <w:sz w:val="18"/>
                <w:szCs w:val="18"/>
              </w:rPr>
            </w:pPr>
            <w:r>
              <w:rPr>
                <w:rFonts w:ascii="Arial" w:hAnsi="Arial" w:cs="Arial"/>
                <w:sz w:val="18"/>
                <w:szCs w:val="18"/>
              </w:rPr>
              <w:t>7,8</w:t>
            </w:r>
          </w:p>
        </w:tc>
        <w:tc>
          <w:tcPr>
            <w:tcW w:w="1228" w:type="dxa"/>
            <w:shd w:val="clear" w:color="auto" w:fill="9CC2E5" w:themeFill="accent1" w:themeFillTint="99"/>
            <w:vAlign w:val="center"/>
          </w:tcPr>
          <w:p w14:paraId="679D8F4A" w14:textId="77777777" w:rsidR="000C24C5" w:rsidRPr="00D60B62" w:rsidRDefault="000C24C5" w:rsidP="00AB338D">
            <w:pPr>
              <w:pStyle w:val="texto"/>
              <w:tabs>
                <w:tab w:val="clear" w:pos="2835"/>
                <w:tab w:val="clear" w:pos="3969"/>
                <w:tab w:val="clear" w:pos="5103"/>
                <w:tab w:val="clear" w:pos="6237"/>
                <w:tab w:val="clear" w:pos="7371"/>
              </w:tabs>
              <w:ind w:firstLine="0"/>
              <w:jc w:val="right"/>
              <w:rPr>
                <w:rFonts w:ascii="Arial" w:hAnsi="Arial" w:cs="Arial"/>
                <w:sz w:val="18"/>
                <w:szCs w:val="18"/>
              </w:rPr>
            </w:pPr>
            <w:r>
              <w:rPr>
                <w:rFonts w:ascii="Arial" w:hAnsi="Arial" w:cs="Arial"/>
                <w:sz w:val="18"/>
                <w:szCs w:val="18"/>
              </w:rPr>
              <w:t>7,1</w:t>
            </w:r>
          </w:p>
        </w:tc>
        <w:tc>
          <w:tcPr>
            <w:tcW w:w="1228" w:type="dxa"/>
            <w:shd w:val="clear" w:color="auto" w:fill="9CC2E5" w:themeFill="accent1" w:themeFillTint="99"/>
            <w:vAlign w:val="center"/>
          </w:tcPr>
          <w:p w14:paraId="228EEF90" w14:textId="77777777" w:rsidR="000C24C5" w:rsidRPr="00D60B62" w:rsidRDefault="000C24C5" w:rsidP="00AB338D">
            <w:pPr>
              <w:pStyle w:val="texto"/>
              <w:tabs>
                <w:tab w:val="clear" w:pos="2835"/>
                <w:tab w:val="clear" w:pos="3969"/>
                <w:tab w:val="clear" w:pos="5103"/>
                <w:tab w:val="clear" w:pos="6237"/>
                <w:tab w:val="clear" w:pos="7371"/>
              </w:tabs>
              <w:ind w:firstLine="0"/>
              <w:jc w:val="right"/>
              <w:rPr>
                <w:rFonts w:ascii="Arial" w:hAnsi="Arial" w:cs="Arial"/>
                <w:sz w:val="18"/>
                <w:szCs w:val="18"/>
              </w:rPr>
            </w:pPr>
            <w:r>
              <w:rPr>
                <w:rFonts w:ascii="Arial" w:hAnsi="Arial" w:cs="Arial"/>
                <w:sz w:val="18"/>
                <w:szCs w:val="18"/>
              </w:rPr>
              <w:t>6,5</w:t>
            </w:r>
          </w:p>
        </w:tc>
      </w:tr>
    </w:tbl>
    <w:p w14:paraId="19219836" w14:textId="5FA7D81E" w:rsidR="00F12DC1" w:rsidRDefault="00F12DC1" w:rsidP="00E91676">
      <w:pPr>
        <w:spacing w:after="160" w:line="259" w:lineRule="auto"/>
        <w:jc w:val="center"/>
        <w:rPr>
          <w:rFonts w:ascii="Arial" w:hAnsi="Arial"/>
          <w:b/>
          <w:bCs/>
          <w:color w:val="000000"/>
          <w:kern w:val="28"/>
          <w:sz w:val="25"/>
          <w:szCs w:val="25"/>
        </w:rPr>
      </w:pPr>
    </w:p>
    <w:p w14:paraId="451AE1D2" w14:textId="77777777" w:rsidR="00F12DC1" w:rsidRDefault="00F12DC1">
      <w:pPr>
        <w:spacing w:after="160" w:line="259" w:lineRule="auto"/>
        <w:rPr>
          <w:rFonts w:ascii="Arial" w:hAnsi="Arial"/>
          <w:b/>
          <w:bCs/>
          <w:color w:val="000000"/>
          <w:kern w:val="28"/>
          <w:sz w:val="25"/>
          <w:szCs w:val="25"/>
        </w:rPr>
      </w:pPr>
      <w:r>
        <w:rPr>
          <w:rFonts w:ascii="Arial" w:hAnsi="Arial"/>
          <w:b/>
          <w:bCs/>
          <w:color w:val="000000"/>
          <w:kern w:val="28"/>
          <w:sz w:val="25"/>
          <w:szCs w:val="25"/>
        </w:rPr>
        <w:br w:type="page"/>
      </w:r>
    </w:p>
    <w:p w14:paraId="70584DBD" w14:textId="77777777" w:rsidR="000E6E25" w:rsidRDefault="00F12DC1" w:rsidP="000E6E25">
      <w:pPr>
        <w:pStyle w:val="atitulo1"/>
        <w:rPr>
          <w:bCs/>
          <w:color w:val="auto"/>
          <w:sz w:val="32"/>
        </w:rPr>
      </w:pPr>
      <w:bookmarkStart w:id="24" w:name="_Toc187821052"/>
      <w:r w:rsidRPr="00F555B0">
        <w:rPr>
          <w:bCs/>
          <w:color w:val="auto"/>
          <w:sz w:val="32"/>
        </w:rPr>
        <w:lastRenderedPageBreak/>
        <w:t>Alegaciones formuladas al informe provisiona</w:t>
      </w:r>
      <w:bookmarkEnd w:id="24"/>
      <w:r w:rsidR="000E6E25">
        <w:rPr>
          <w:bCs/>
          <w:color w:val="auto"/>
          <w:sz w:val="32"/>
        </w:rPr>
        <w:t>l</w:t>
      </w:r>
    </w:p>
    <w:p w14:paraId="0BABE99C" w14:textId="77777777" w:rsidR="00E14608" w:rsidRPr="00E14608" w:rsidRDefault="00E14608" w:rsidP="00E14608">
      <w:pPr>
        <w:widowControl w:val="0"/>
        <w:autoSpaceDE w:val="0"/>
        <w:autoSpaceDN w:val="0"/>
        <w:adjustRightInd w:val="0"/>
        <w:spacing w:line="379" w:lineRule="exact"/>
        <w:ind w:left="10"/>
        <w:jc w:val="center"/>
        <w:textAlignment w:val="baseline"/>
        <w:rPr>
          <w:lang w:val="es" w:eastAsia="zh-CN"/>
        </w:rPr>
      </w:pPr>
      <w:r w:rsidRPr="00E14608">
        <w:rPr>
          <w:rFonts w:ascii="Arial" w:eastAsia="Arial" w:hAnsi="Arial" w:cs="Arial"/>
          <w:b/>
          <w:sz w:val="21"/>
          <w:szCs w:val="21"/>
          <w:lang w:val="es" w:eastAsia="zh-CN"/>
        </w:rPr>
        <w:t>INFORME PROVISIONAL DE FISCALIZACIÓN DE LA CAMARA DE COMPTOS SOBRE "GESTION DE LA RENTA GARANTIZADA Y SU IMPACTO EN EL EMPLEO (2019-2023).</w:t>
      </w:r>
    </w:p>
    <w:p w14:paraId="5D2DB0E7" w14:textId="77777777" w:rsidR="00E14608" w:rsidRPr="00E14608" w:rsidRDefault="00E14608" w:rsidP="00E14608">
      <w:pPr>
        <w:widowControl w:val="0"/>
        <w:autoSpaceDE w:val="0"/>
        <w:autoSpaceDN w:val="0"/>
        <w:adjustRightInd w:val="0"/>
        <w:spacing w:line="230" w:lineRule="exact"/>
        <w:ind w:left="2587"/>
        <w:textAlignment w:val="baseline"/>
        <w:rPr>
          <w:rFonts w:ascii="Arial" w:eastAsia="Arial" w:hAnsi="Arial" w:cs="Arial"/>
          <w:b/>
          <w:sz w:val="21"/>
          <w:szCs w:val="21"/>
          <w:lang w:val="es" w:eastAsia="zh-CN"/>
        </w:rPr>
      </w:pPr>
    </w:p>
    <w:p w14:paraId="3CE886B4" w14:textId="77777777" w:rsidR="00E14608" w:rsidRPr="00E14608" w:rsidRDefault="00E14608" w:rsidP="00E14608">
      <w:pPr>
        <w:widowControl w:val="0"/>
        <w:autoSpaceDE w:val="0"/>
        <w:autoSpaceDN w:val="0"/>
        <w:adjustRightInd w:val="0"/>
        <w:spacing w:line="230" w:lineRule="exact"/>
        <w:ind w:left="2587"/>
        <w:textAlignment w:val="baseline"/>
        <w:rPr>
          <w:rFonts w:ascii="Arial" w:eastAsia="Arial" w:hAnsi="Arial" w:cs="Arial"/>
          <w:b/>
          <w:sz w:val="21"/>
          <w:szCs w:val="21"/>
          <w:lang w:val="es" w:eastAsia="zh-CN"/>
        </w:rPr>
      </w:pPr>
    </w:p>
    <w:p w14:paraId="3F8479BD" w14:textId="77777777" w:rsidR="00E14608" w:rsidRPr="00E14608" w:rsidRDefault="00E14608" w:rsidP="00E14608">
      <w:pPr>
        <w:widowControl w:val="0"/>
        <w:autoSpaceDE w:val="0"/>
        <w:autoSpaceDN w:val="0"/>
        <w:adjustRightInd w:val="0"/>
        <w:spacing w:line="230" w:lineRule="exact"/>
        <w:ind w:left="2587"/>
        <w:textAlignment w:val="baseline"/>
        <w:rPr>
          <w:lang w:val="es" w:eastAsia="zh-CN"/>
        </w:rPr>
      </w:pPr>
      <w:r w:rsidRPr="00E14608">
        <w:rPr>
          <w:rFonts w:ascii="Arial" w:eastAsia="Arial" w:hAnsi="Arial" w:cs="Arial"/>
          <w:b/>
          <w:sz w:val="21"/>
          <w:szCs w:val="21"/>
          <w:lang w:val="es" w:eastAsia="zh-CN"/>
        </w:rPr>
        <w:t xml:space="preserve">ESCRITO DE ALEGACIONES. </w:t>
      </w:r>
    </w:p>
    <w:p w14:paraId="583F1309" w14:textId="77777777" w:rsidR="00E14608" w:rsidRPr="00E14608" w:rsidRDefault="00E14608" w:rsidP="00E14608">
      <w:pPr>
        <w:widowControl w:val="0"/>
        <w:autoSpaceDE w:val="0"/>
        <w:autoSpaceDN w:val="0"/>
        <w:adjustRightInd w:val="0"/>
        <w:spacing w:line="235" w:lineRule="exact"/>
        <w:ind w:left="3245"/>
        <w:textAlignment w:val="baseline"/>
        <w:rPr>
          <w:rFonts w:ascii="Arial" w:eastAsia="Arial" w:hAnsi="Arial" w:cs="Arial"/>
          <w:b/>
          <w:i/>
          <w:iCs/>
          <w:sz w:val="22"/>
          <w:szCs w:val="22"/>
          <w:lang w:val="es" w:eastAsia="zh-CN"/>
        </w:rPr>
      </w:pPr>
    </w:p>
    <w:p w14:paraId="06CA3623" w14:textId="77777777" w:rsidR="00E14608" w:rsidRPr="00E14608" w:rsidRDefault="00E14608" w:rsidP="00E14608">
      <w:pPr>
        <w:widowControl w:val="0"/>
        <w:autoSpaceDE w:val="0"/>
        <w:autoSpaceDN w:val="0"/>
        <w:adjustRightInd w:val="0"/>
        <w:spacing w:line="235" w:lineRule="exact"/>
        <w:ind w:left="3245"/>
        <w:textAlignment w:val="baseline"/>
        <w:rPr>
          <w:rFonts w:ascii="Arial" w:eastAsia="Arial" w:hAnsi="Arial" w:cs="Arial"/>
          <w:b/>
          <w:i/>
          <w:iCs/>
          <w:sz w:val="22"/>
          <w:szCs w:val="22"/>
          <w:lang w:val="es" w:eastAsia="zh-CN"/>
        </w:rPr>
      </w:pPr>
    </w:p>
    <w:p w14:paraId="168B857B" w14:textId="77777777" w:rsidR="00E14608" w:rsidRPr="00E14608" w:rsidRDefault="00E14608" w:rsidP="00E14608">
      <w:pPr>
        <w:widowControl w:val="0"/>
        <w:autoSpaceDE w:val="0"/>
        <w:autoSpaceDN w:val="0"/>
        <w:adjustRightInd w:val="0"/>
        <w:spacing w:line="235" w:lineRule="exact"/>
        <w:ind w:left="3245"/>
        <w:textAlignment w:val="baseline"/>
        <w:rPr>
          <w:sz w:val="20"/>
          <w:szCs w:val="20"/>
          <w:lang w:val="es" w:eastAsia="zh-CN"/>
        </w:rPr>
      </w:pPr>
      <w:r w:rsidRPr="00E14608">
        <w:rPr>
          <w:rFonts w:ascii="Arial" w:eastAsia="Arial" w:hAnsi="Arial" w:cs="Arial"/>
          <w:b/>
          <w:i/>
          <w:iCs/>
          <w:sz w:val="20"/>
          <w:szCs w:val="20"/>
          <w:lang w:val="es" w:eastAsia="zh-CN"/>
        </w:rPr>
        <w:t xml:space="preserve">Agradecimiento. </w:t>
      </w:r>
    </w:p>
    <w:p w14:paraId="018C6BF8" w14:textId="77777777" w:rsidR="00E14608" w:rsidRPr="00E14608" w:rsidRDefault="00E14608" w:rsidP="00E14608">
      <w:pPr>
        <w:widowControl w:val="0"/>
        <w:autoSpaceDE w:val="0"/>
        <w:autoSpaceDN w:val="0"/>
        <w:adjustRightInd w:val="0"/>
        <w:spacing w:line="422" w:lineRule="exact"/>
        <w:ind w:left="5" w:firstLine="710"/>
        <w:jc w:val="both"/>
        <w:textAlignment w:val="baseline"/>
        <w:rPr>
          <w:lang w:val="es" w:eastAsia="zh-CN"/>
        </w:rPr>
      </w:pPr>
      <w:r w:rsidRPr="00E14608">
        <w:rPr>
          <w:rFonts w:ascii="Arial" w:eastAsia="Arial" w:hAnsi="Arial" w:cs="Arial"/>
          <w:sz w:val="20"/>
          <w:szCs w:val="20"/>
          <w:lang w:val="es" w:eastAsia="zh-CN"/>
        </w:rPr>
        <w:t xml:space="preserve">Agradecemos al equipo de auditoría de la Cámara de Comtos la interlocución y trabajo efectuado para la realización de este informe, que facilitará la mejora los procesos de gestión de los derechos a la Inclusión Social y a la Renta Garantizada y su impacto en el empleo. </w:t>
      </w:r>
    </w:p>
    <w:p w14:paraId="0BA019F0" w14:textId="77777777" w:rsidR="00E14608" w:rsidRDefault="00E14608" w:rsidP="00E14608">
      <w:pPr>
        <w:widowControl w:val="0"/>
        <w:autoSpaceDE w:val="0"/>
        <w:autoSpaceDN w:val="0"/>
        <w:adjustRightInd w:val="0"/>
        <w:spacing w:line="240" w:lineRule="exact"/>
        <w:ind w:left="2765"/>
        <w:textAlignment w:val="baseline"/>
        <w:rPr>
          <w:rFonts w:ascii="Arial" w:eastAsia="Arial" w:hAnsi="Arial" w:cs="Arial"/>
          <w:b/>
          <w:i/>
          <w:iCs/>
          <w:sz w:val="20"/>
          <w:szCs w:val="20"/>
          <w:lang w:val="es" w:eastAsia="zh-CN"/>
        </w:rPr>
      </w:pPr>
    </w:p>
    <w:p w14:paraId="0316C9FC" w14:textId="28136896" w:rsidR="00E14608" w:rsidRPr="00E14608" w:rsidRDefault="00E14608" w:rsidP="00E14608">
      <w:pPr>
        <w:widowControl w:val="0"/>
        <w:autoSpaceDE w:val="0"/>
        <w:autoSpaceDN w:val="0"/>
        <w:adjustRightInd w:val="0"/>
        <w:spacing w:line="240" w:lineRule="exact"/>
        <w:ind w:left="2765"/>
        <w:textAlignment w:val="baseline"/>
        <w:rPr>
          <w:sz w:val="20"/>
          <w:szCs w:val="20"/>
          <w:lang w:val="es" w:eastAsia="zh-CN"/>
        </w:rPr>
      </w:pPr>
      <w:r w:rsidRPr="00E14608">
        <w:rPr>
          <w:rFonts w:ascii="Arial" w:eastAsia="Arial" w:hAnsi="Arial" w:cs="Arial"/>
          <w:b/>
          <w:i/>
          <w:iCs/>
          <w:sz w:val="20"/>
          <w:szCs w:val="20"/>
          <w:lang w:val="es" w:eastAsia="zh-CN"/>
        </w:rPr>
        <w:t xml:space="preserve">Consideraciones previas. </w:t>
      </w:r>
    </w:p>
    <w:p w14:paraId="1C4F8791" w14:textId="77777777" w:rsidR="00E14608" w:rsidRPr="00E14608" w:rsidRDefault="00E14608" w:rsidP="00E14608">
      <w:pPr>
        <w:widowControl w:val="0"/>
        <w:autoSpaceDE w:val="0"/>
        <w:autoSpaceDN w:val="0"/>
        <w:adjustRightInd w:val="0"/>
        <w:spacing w:before="114" w:line="418" w:lineRule="exact"/>
        <w:ind w:firstLine="715"/>
        <w:jc w:val="both"/>
        <w:textAlignment w:val="baseline"/>
        <w:rPr>
          <w:lang w:val="es" w:eastAsia="zh-CN"/>
        </w:rPr>
      </w:pPr>
      <w:r w:rsidRPr="00E14608">
        <w:rPr>
          <w:rFonts w:ascii="Arial" w:eastAsia="Arial" w:hAnsi="Arial" w:cs="Arial"/>
          <w:b/>
          <w:sz w:val="19"/>
          <w:szCs w:val="19"/>
          <w:lang w:val="es" w:eastAsia="zh-CN"/>
        </w:rPr>
        <w:t xml:space="preserve">Primera.- </w:t>
      </w:r>
      <w:r w:rsidRPr="00E14608">
        <w:rPr>
          <w:rFonts w:ascii="Arial" w:eastAsia="Arial" w:hAnsi="Arial" w:cs="Arial"/>
          <w:sz w:val="20"/>
          <w:szCs w:val="20"/>
          <w:lang w:val="es" w:eastAsia="zh-CN"/>
        </w:rPr>
        <w:t xml:space="preserve">La aprobación y entrada en vigor de la Ley Foral 15/2016, de 11 de noviembre, por la que se regulan los derechos a la Inclusión Social y a la Renta Garantizada supuso la reforma del sistema de protección social, manteniendo y profundizando el enfoque basado en derechos. Se trató, por una parte, de mejorar la cobertura y acceso a las prestaciones económicas que constituyen la red de último recurso, nivel cuya responsabilidad corresponde a la Comunidad Foral, en razón de su competencia en materia de asistencia social. Por otra parte, de mejorar el acceso de toda la ciudadanía, y en especial de aquellas personas que tienen dificultades especiales </w:t>
      </w:r>
    </w:p>
    <w:p w14:paraId="32107B70" w14:textId="77777777" w:rsidR="00E14608" w:rsidRPr="00E14608" w:rsidRDefault="00E14608" w:rsidP="00E14608">
      <w:pPr>
        <w:widowControl w:val="0"/>
        <w:autoSpaceDE w:val="0"/>
        <w:autoSpaceDN w:val="0"/>
        <w:adjustRightInd w:val="0"/>
        <w:spacing w:line="422" w:lineRule="exact"/>
        <w:ind w:left="5" w:firstLine="710"/>
        <w:jc w:val="both"/>
        <w:textAlignment w:val="baseline"/>
        <w:rPr>
          <w:lang w:val="es" w:eastAsia="zh-CN"/>
        </w:rPr>
      </w:pPr>
      <w:r w:rsidRPr="00E14608">
        <w:rPr>
          <w:rFonts w:ascii="Arial" w:eastAsia="Arial" w:hAnsi="Arial" w:cs="Arial"/>
          <w:sz w:val="20"/>
          <w:szCs w:val="20"/>
          <w:lang w:val="es" w:eastAsia="zh-CN"/>
        </w:rPr>
        <w:t xml:space="preserve">Es innegable que la Ley Foral tiene como finalidad garantizar como derecho subjetivo el acceso a unos recursos económicos adecuados y el acceso a unos servicios de inclusión social de calidad. Pretende así mismo, promover la inserción laboral de todas las personas que están en condiciones de incorporarse al mercado de trabajo. </w:t>
      </w:r>
    </w:p>
    <w:p w14:paraId="3D5C33E5" w14:textId="77777777" w:rsidR="00E14608" w:rsidRPr="00E14608" w:rsidRDefault="00E14608" w:rsidP="00E14608">
      <w:pPr>
        <w:widowControl w:val="0"/>
        <w:autoSpaceDE w:val="0"/>
        <w:autoSpaceDN w:val="0"/>
        <w:adjustRightInd w:val="0"/>
        <w:spacing w:line="418" w:lineRule="exact"/>
        <w:ind w:left="5" w:firstLine="706"/>
        <w:jc w:val="both"/>
        <w:textAlignment w:val="baseline"/>
        <w:rPr>
          <w:rFonts w:ascii="Arial" w:eastAsia="Arial" w:hAnsi="Arial" w:cs="Arial"/>
          <w:i/>
          <w:iCs/>
          <w:sz w:val="19"/>
          <w:szCs w:val="19"/>
          <w:lang w:val="es" w:eastAsia="zh-CN"/>
        </w:rPr>
      </w:pPr>
      <w:r w:rsidRPr="00E14608">
        <w:rPr>
          <w:rFonts w:ascii="Arial" w:eastAsia="Arial" w:hAnsi="Arial" w:cs="Arial"/>
          <w:sz w:val="20"/>
          <w:szCs w:val="20"/>
          <w:lang w:val="es" w:eastAsia="zh-CN"/>
        </w:rPr>
        <w:t xml:space="preserve">Tal y como se indica en su Exposición de Motivos : </w:t>
      </w:r>
      <w:r w:rsidRPr="00E14608">
        <w:rPr>
          <w:rFonts w:ascii="Arial" w:eastAsia="Arial" w:hAnsi="Arial" w:cs="Arial"/>
          <w:i/>
          <w:iCs/>
          <w:sz w:val="19"/>
          <w:szCs w:val="19"/>
          <w:lang w:val="es" w:eastAsia="zh-CN"/>
        </w:rPr>
        <w:t xml:space="preserve">"Esta ley pretende diferenciar y a la vez coordinar los dos componentes de estas actuaciones: La garantía de rentas y la </w:t>
      </w:r>
      <w:r w:rsidRPr="00E14608">
        <w:rPr>
          <w:i/>
          <w:iCs/>
          <w:sz w:val="22"/>
          <w:szCs w:val="22"/>
          <w:lang w:val="es" w:eastAsia="zh-CN"/>
        </w:rPr>
        <w:t xml:space="preserve">prestación de servicios de acompañamiento social y de empleo. Se trata de acciones que responden a lógicas diferentes. El acceso a prestaciones de garantía de rentas debe depender de la concurrencia de circunstancias y características objetivas, de naturaleza fundamentalmente económica, debe estar engarzado con el acceso a otras prestaciones económicas públicas y debe mantener los incentivos al empleo. El acceso a los servicios sociales de acompañamiento de la inclusión, por su lado, debe producirse desde una lógica de intervención social, que tenga en cuenta situaciones, capacidades y oportunidades de las personas y su entorno, y los ritmos y tiempos del desarrollo personal, con independencia de si en un momento u otro de dicha intervención se accede </w:t>
      </w:r>
      <w:r w:rsidRPr="00E14608">
        <w:rPr>
          <w:sz w:val="22"/>
          <w:szCs w:val="22"/>
          <w:lang w:val="es" w:eastAsia="zh-CN"/>
        </w:rPr>
        <w:t xml:space="preserve">o </w:t>
      </w:r>
      <w:r w:rsidRPr="00E14608">
        <w:rPr>
          <w:i/>
          <w:iCs/>
          <w:sz w:val="22"/>
          <w:szCs w:val="22"/>
          <w:lang w:val="es" w:eastAsia="zh-CN"/>
        </w:rPr>
        <w:t xml:space="preserve">no a una prestación </w:t>
      </w:r>
      <w:r w:rsidRPr="00E14608">
        <w:rPr>
          <w:i/>
          <w:iCs/>
          <w:sz w:val="22"/>
          <w:szCs w:val="22"/>
          <w:lang w:val="es" w:eastAsia="zh-CN"/>
        </w:rPr>
        <w:lastRenderedPageBreak/>
        <w:t xml:space="preserve">económica. Esta diferencia de lógicas conlleva además que las personas que acceden a uno y otro tipo de apoyo público no sean siempre las mismas. No todas las personas con ingresos insuficientes necesitan en todo momento de procesos personalizados de inclusión. Tampoco la necesidad de tales procesos se circunscribe a los perceptores </w:t>
      </w:r>
      <w:r w:rsidRPr="00E14608">
        <w:rPr>
          <w:sz w:val="22"/>
          <w:szCs w:val="22"/>
          <w:lang w:val="es" w:eastAsia="zh-CN"/>
        </w:rPr>
        <w:t xml:space="preserve">o </w:t>
      </w:r>
      <w:r w:rsidRPr="00E14608">
        <w:rPr>
          <w:i/>
          <w:iCs/>
          <w:sz w:val="22"/>
          <w:szCs w:val="22"/>
          <w:lang w:val="es" w:eastAsia="zh-CN"/>
        </w:rPr>
        <w:t xml:space="preserve">perceptoras de la Renta Garantizada, puesto que comprenden, entre otras, a personas beneficiarias de otras prestaciones, así como a quienes sin necesidad de una prestación económica precisan de procesos de acompañamiento para su inclusión". </w:t>
      </w:r>
    </w:p>
    <w:p w14:paraId="153F9CDE" w14:textId="77777777" w:rsidR="00E14608" w:rsidRPr="00E14608" w:rsidRDefault="00E14608" w:rsidP="00E14608">
      <w:pPr>
        <w:widowControl w:val="0"/>
        <w:autoSpaceDE w:val="0"/>
        <w:autoSpaceDN w:val="0"/>
        <w:adjustRightInd w:val="0"/>
        <w:spacing w:line="418" w:lineRule="exact"/>
        <w:ind w:left="19" w:firstLine="715"/>
        <w:jc w:val="both"/>
        <w:textAlignment w:val="baseline"/>
        <w:rPr>
          <w:lang w:val="es" w:eastAsia="zh-CN"/>
        </w:rPr>
      </w:pPr>
      <w:r w:rsidRPr="00E14608">
        <w:rPr>
          <w:rFonts w:ascii="Arial" w:eastAsia="Arial" w:hAnsi="Arial" w:cs="Arial"/>
          <w:b/>
          <w:w w:val="92"/>
          <w:sz w:val="20"/>
          <w:szCs w:val="20"/>
          <w:lang w:val="es" w:eastAsia="zh-CN"/>
        </w:rPr>
        <w:t xml:space="preserve">Segunda: </w:t>
      </w:r>
      <w:r w:rsidRPr="00E14608">
        <w:rPr>
          <w:rFonts w:ascii="Arial" w:eastAsia="Arial" w:hAnsi="Arial" w:cs="Arial"/>
          <w:sz w:val="20"/>
          <w:szCs w:val="20"/>
          <w:lang w:val="es" w:eastAsia="zh-CN"/>
        </w:rPr>
        <w:t xml:space="preserve">El informe provisional de la Cámara de Comptos, responde a la petición del grupo parlamentario Partido Popular, de fiscalización </w:t>
      </w:r>
      <w:r w:rsidRPr="00E14608">
        <w:rPr>
          <w:i/>
          <w:iCs/>
          <w:sz w:val="22"/>
          <w:szCs w:val="22"/>
          <w:lang w:val="es" w:eastAsia="zh-CN"/>
        </w:rPr>
        <w:t xml:space="preserve">"sobre el cumplimiento en términos de eficacia y eficiencia de la Ley Foral 15/2016, de 11 de noviembre, por la que se regulan los derechos a la inclusión social y a la renta garantizada". </w:t>
      </w:r>
    </w:p>
    <w:p w14:paraId="4471A326" w14:textId="77777777" w:rsidR="00E14608" w:rsidRPr="00E14608" w:rsidRDefault="00E14608" w:rsidP="00E14608">
      <w:pPr>
        <w:widowControl w:val="0"/>
        <w:autoSpaceDE w:val="0"/>
        <w:autoSpaceDN w:val="0"/>
        <w:adjustRightInd w:val="0"/>
        <w:spacing w:line="422" w:lineRule="exact"/>
        <w:ind w:left="567" w:right="567"/>
        <w:textAlignment w:val="baseline"/>
        <w:rPr>
          <w:lang w:val="es" w:eastAsia="zh-CN"/>
        </w:rPr>
      </w:pPr>
      <w:r w:rsidRPr="00E14608">
        <w:rPr>
          <w:rFonts w:ascii="Arial" w:eastAsia="Arial" w:hAnsi="Arial" w:cs="Arial"/>
          <w:sz w:val="20"/>
          <w:szCs w:val="20"/>
          <w:lang w:val="es" w:eastAsia="zh-CN"/>
        </w:rPr>
        <w:t xml:space="preserve">El propio informe señala los objetivos de auditoría, de cumplimiento y operativa, </w:t>
      </w:r>
    </w:p>
    <w:p w14:paraId="568CD2FA" w14:textId="77777777" w:rsidR="00E14608" w:rsidRPr="00E14608" w:rsidRDefault="00E14608" w:rsidP="00E14608">
      <w:pPr>
        <w:widowControl w:val="0"/>
        <w:autoSpaceDE w:val="0"/>
        <w:autoSpaceDN w:val="0"/>
        <w:adjustRightInd w:val="0"/>
        <w:spacing w:line="422" w:lineRule="exact"/>
        <w:ind w:left="29"/>
        <w:textAlignment w:val="baseline"/>
        <w:rPr>
          <w:lang w:val="es" w:eastAsia="zh-CN"/>
        </w:rPr>
      </w:pPr>
      <w:r w:rsidRPr="00E14608">
        <w:rPr>
          <w:rFonts w:ascii="Arial" w:eastAsia="Arial" w:hAnsi="Arial" w:cs="Arial"/>
          <w:sz w:val="20"/>
          <w:szCs w:val="20"/>
          <w:lang w:val="es" w:eastAsia="zh-CN"/>
        </w:rPr>
        <w:t xml:space="preserve">destacando los siguientes: </w:t>
      </w:r>
    </w:p>
    <w:p w14:paraId="7386A96B" w14:textId="77777777" w:rsidR="00E14608" w:rsidRPr="00E14608" w:rsidRDefault="00E14608" w:rsidP="00E14608">
      <w:pPr>
        <w:widowControl w:val="0"/>
        <w:numPr>
          <w:ilvl w:val="0"/>
          <w:numId w:val="54"/>
        </w:numPr>
        <w:autoSpaceDE w:val="0"/>
        <w:autoSpaceDN w:val="0"/>
        <w:adjustRightInd w:val="0"/>
        <w:spacing w:line="422" w:lineRule="exact"/>
        <w:ind w:left="924" w:hanging="357"/>
        <w:jc w:val="both"/>
        <w:textAlignment w:val="baseline"/>
        <w:rPr>
          <w:lang w:val="es" w:eastAsia="zh-CN"/>
        </w:rPr>
      </w:pPr>
      <w:r w:rsidRPr="00E14608">
        <w:rPr>
          <w:rFonts w:ascii="Arial" w:eastAsia="Arial" w:hAnsi="Arial" w:cs="Arial"/>
          <w:sz w:val="20"/>
          <w:szCs w:val="20"/>
          <w:lang w:val="es" w:eastAsia="zh-CN"/>
        </w:rPr>
        <w:t xml:space="preserve">Analizar el cumplimiento de las obligaciones de las unidades familiares perceptoras de esta prestación, reguladas en el artículo 18 de la Ley. </w:t>
      </w:r>
    </w:p>
    <w:p w14:paraId="101E5D98" w14:textId="77777777" w:rsidR="00E14608" w:rsidRPr="00E14608" w:rsidRDefault="00E14608" w:rsidP="00E14608">
      <w:pPr>
        <w:widowControl w:val="0"/>
        <w:numPr>
          <w:ilvl w:val="0"/>
          <w:numId w:val="54"/>
        </w:numPr>
        <w:autoSpaceDE w:val="0"/>
        <w:autoSpaceDN w:val="0"/>
        <w:adjustRightInd w:val="0"/>
        <w:spacing w:line="422" w:lineRule="exact"/>
        <w:ind w:left="924" w:hanging="357"/>
        <w:jc w:val="both"/>
        <w:textAlignment w:val="baseline"/>
        <w:rPr>
          <w:lang w:val="es" w:eastAsia="zh-CN"/>
        </w:rPr>
      </w:pPr>
      <w:r w:rsidRPr="00E14608">
        <w:rPr>
          <w:rFonts w:ascii="Arial" w:eastAsia="Arial" w:hAnsi="Arial" w:cs="Arial"/>
          <w:sz w:val="20"/>
          <w:szCs w:val="20"/>
          <w:lang w:val="es" w:eastAsia="zh-CN"/>
        </w:rPr>
        <w:t>Revisar el cumplimiento de las disposiciones generales referidas al ejercicio conjunto de los derechos a la inclusión social y a la Renta Garantizada.</w:t>
      </w:r>
    </w:p>
    <w:p w14:paraId="77F93D19" w14:textId="77777777" w:rsidR="00E14608" w:rsidRPr="00E14608" w:rsidRDefault="00E14608" w:rsidP="00E14608">
      <w:pPr>
        <w:widowControl w:val="0"/>
        <w:numPr>
          <w:ilvl w:val="0"/>
          <w:numId w:val="54"/>
        </w:numPr>
        <w:autoSpaceDE w:val="0"/>
        <w:autoSpaceDN w:val="0"/>
        <w:adjustRightInd w:val="0"/>
        <w:spacing w:line="422" w:lineRule="exact"/>
        <w:ind w:left="924" w:hanging="357"/>
        <w:jc w:val="both"/>
        <w:textAlignment w:val="baseline"/>
        <w:rPr>
          <w:lang w:val="es" w:eastAsia="zh-CN"/>
        </w:rPr>
      </w:pPr>
      <w:r w:rsidRPr="00E14608">
        <w:rPr>
          <w:rFonts w:ascii="Arial" w:eastAsia="Arial" w:hAnsi="Arial" w:cs="Arial"/>
          <w:sz w:val="20"/>
          <w:szCs w:val="20"/>
          <w:lang w:val="es" w:eastAsia="zh-CN"/>
        </w:rPr>
        <w:t>Evolución de determinados indicadores de RG.</w:t>
      </w:r>
    </w:p>
    <w:p w14:paraId="2FA9E0B8" w14:textId="77777777" w:rsidR="00E14608" w:rsidRPr="00E14608" w:rsidRDefault="00E14608" w:rsidP="00E14608">
      <w:pPr>
        <w:widowControl w:val="0"/>
        <w:numPr>
          <w:ilvl w:val="0"/>
          <w:numId w:val="54"/>
        </w:numPr>
        <w:autoSpaceDE w:val="0"/>
        <w:autoSpaceDN w:val="0"/>
        <w:adjustRightInd w:val="0"/>
        <w:spacing w:line="422" w:lineRule="exact"/>
        <w:ind w:left="924" w:hanging="357"/>
        <w:jc w:val="both"/>
        <w:textAlignment w:val="baseline"/>
        <w:rPr>
          <w:lang w:val="es" w:eastAsia="zh-CN"/>
        </w:rPr>
      </w:pPr>
      <w:r w:rsidRPr="00E14608">
        <w:rPr>
          <w:rFonts w:ascii="Arial" w:eastAsia="Arial" w:hAnsi="Arial" w:cs="Arial"/>
          <w:sz w:val="20"/>
          <w:szCs w:val="20"/>
          <w:lang w:val="es" w:eastAsia="zh-CN"/>
        </w:rPr>
        <w:t xml:space="preserve">Revisar la gestión de la RG y del Ingreso Mínimo Vital (IMV} </w:t>
      </w:r>
    </w:p>
    <w:p w14:paraId="231EB768" w14:textId="77777777" w:rsidR="00E14608" w:rsidRPr="00E14608" w:rsidRDefault="00E14608" w:rsidP="00E14608">
      <w:pPr>
        <w:widowControl w:val="0"/>
        <w:numPr>
          <w:ilvl w:val="0"/>
          <w:numId w:val="55"/>
        </w:numPr>
        <w:autoSpaceDE w:val="0"/>
        <w:autoSpaceDN w:val="0"/>
        <w:adjustRightInd w:val="0"/>
        <w:spacing w:line="422" w:lineRule="exact"/>
        <w:ind w:left="924" w:hanging="357"/>
        <w:jc w:val="both"/>
        <w:textAlignment w:val="baseline"/>
        <w:rPr>
          <w:lang w:val="es" w:eastAsia="zh-CN"/>
        </w:rPr>
      </w:pPr>
      <w:r w:rsidRPr="00E14608">
        <w:rPr>
          <w:rFonts w:ascii="Arial" w:eastAsia="Arial" w:hAnsi="Arial" w:cs="Arial"/>
          <w:sz w:val="20"/>
          <w:szCs w:val="20"/>
          <w:lang w:val="es" w:eastAsia="zh-CN"/>
        </w:rPr>
        <w:t xml:space="preserve">Realizar un seguimiento de las recomendaciones del informe de la Cámara del 2019, sobre la RG y la inclusión social, correspondiente al periodo 2016- 2018. </w:t>
      </w:r>
    </w:p>
    <w:p w14:paraId="6C6ECBF9" w14:textId="77777777" w:rsidR="00E14608" w:rsidRPr="00E14608" w:rsidRDefault="00E14608" w:rsidP="00E14608">
      <w:pPr>
        <w:widowControl w:val="0"/>
        <w:autoSpaceDE w:val="0"/>
        <w:autoSpaceDN w:val="0"/>
        <w:adjustRightInd w:val="0"/>
        <w:spacing w:line="221" w:lineRule="exact"/>
        <w:ind w:left="720"/>
        <w:textAlignment w:val="baseline"/>
        <w:rPr>
          <w:rFonts w:ascii="Arial" w:eastAsia="Arial" w:hAnsi="Arial" w:cs="Arial"/>
          <w:sz w:val="20"/>
          <w:szCs w:val="20"/>
          <w:lang w:val="es" w:eastAsia="zh-CN"/>
        </w:rPr>
      </w:pPr>
    </w:p>
    <w:p w14:paraId="7193FC53" w14:textId="77777777" w:rsidR="00E14608" w:rsidRPr="00E14608" w:rsidRDefault="00E14608" w:rsidP="00E14608">
      <w:pPr>
        <w:widowControl w:val="0"/>
        <w:autoSpaceDE w:val="0"/>
        <w:autoSpaceDN w:val="0"/>
        <w:adjustRightInd w:val="0"/>
        <w:spacing w:line="221" w:lineRule="exact"/>
        <w:ind w:left="720"/>
        <w:textAlignment w:val="baseline"/>
        <w:rPr>
          <w:lang w:val="es" w:eastAsia="zh-CN"/>
        </w:rPr>
      </w:pPr>
      <w:r w:rsidRPr="00E14608">
        <w:rPr>
          <w:rFonts w:ascii="Arial" w:eastAsia="Arial" w:hAnsi="Arial" w:cs="Arial"/>
          <w:sz w:val="20"/>
          <w:szCs w:val="20"/>
          <w:lang w:val="es" w:eastAsia="zh-CN"/>
        </w:rPr>
        <w:t xml:space="preserve">Finaliza el informe, formulando una serie de recomendaciones </w:t>
      </w:r>
    </w:p>
    <w:p w14:paraId="5543F982" w14:textId="77777777" w:rsidR="00E14608" w:rsidRPr="00E14608" w:rsidRDefault="00E14608" w:rsidP="00E14608">
      <w:pPr>
        <w:widowControl w:val="0"/>
        <w:autoSpaceDE w:val="0"/>
        <w:autoSpaceDN w:val="0"/>
        <w:adjustRightInd w:val="0"/>
        <w:spacing w:line="206" w:lineRule="exact"/>
        <w:ind w:left="3754"/>
        <w:textAlignment w:val="baseline"/>
        <w:rPr>
          <w:rFonts w:ascii="Arial" w:eastAsia="Arial" w:hAnsi="Arial" w:cs="Arial"/>
          <w:b/>
          <w:i/>
          <w:iCs/>
          <w:sz w:val="18"/>
          <w:szCs w:val="18"/>
          <w:lang w:val="es" w:eastAsia="zh-CN"/>
        </w:rPr>
      </w:pPr>
    </w:p>
    <w:p w14:paraId="2BC7C5B9" w14:textId="77777777" w:rsidR="00E14608" w:rsidRPr="00E14608" w:rsidRDefault="00E14608" w:rsidP="00E14608">
      <w:pPr>
        <w:widowControl w:val="0"/>
        <w:autoSpaceDE w:val="0"/>
        <w:autoSpaceDN w:val="0"/>
        <w:adjustRightInd w:val="0"/>
        <w:spacing w:line="206" w:lineRule="exact"/>
        <w:ind w:left="3754"/>
        <w:textAlignment w:val="baseline"/>
        <w:rPr>
          <w:rFonts w:ascii="Arial" w:eastAsia="Arial" w:hAnsi="Arial" w:cs="Arial"/>
          <w:b/>
          <w:i/>
          <w:iCs/>
          <w:sz w:val="20"/>
          <w:szCs w:val="20"/>
          <w:lang w:val="es" w:eastAsia="zh-CN"/>
        </w:rPr>
      </w:pPr>
    </w:p>
    <w:p w14:paraId="29F9075A" w14:textId="77777777" w:rsidR="00E14608" w:rsidRPr="00E14608" w:rsidRDefault="00E14608" w:rsidP="00E14608">
      <w:pPr>
        <w:widowControl w:val="0"/>
        <w:autoSpaceDE w:val="0"/>
        <w:autoSpaceDN w:val="0"/>
        <w:adjustRightInd w:val="0"/>
        <w:spacing w:line="206" w:lineRule="exact"/>
        <w:ind w:left="2124" w:firstLine="708"/>
        <w:textAlignment w:val="baseline"/>
        <w:rPr>
          <w:rFonts w:ascii="Arial" w:eastAsia="Arial" w:hAnsi="Arial" w:cs="Arial"/>
          <w:b/>
          <w:i/>
          <w:iCs/>
          <w:sz w:val="20"/>
          <w:szCs w:val="20"/>
          <w:lang w:val="es" w:eastAsia="zh-CN"/>
        </w:rPr>
      </w:pPr>
      <w:r w:rsidRPr="00E14608">
        <w:rPr>
          <w:rFonts w:ascii="Arial" w:eastAsia="Arial" w:hAnsi="Arial" w:cs="Arial"/>
          <w:b/>
          <w:i/>
          <w:iCs/>
          <w:sz w:val="20"/>
          <w:szCs w:val="20"/>
          <w:lang w:val="es" w:eastAsia="zh-CN"/>
        </w:rPr>
        <w:t>ALEGACIONES.</w:t>
      </w:r>
    </w:p>
    <w:p w14:paraId="519BC390" w14:textId="77777777" w:rsidR="00E14608" w:rsidRPr="00E14608" w:rsidRDefault="00E14608" w:rsidP="00E14608">
      <w:pPr>
        <w:widowControl w:val="0"/>
        <w:autoSpaceDE w:val="0"/>
        <w:autoSpaceDN w:val="0"/>
        <w:adjustRightInd w:val="0"/>
        <w:spacing w:line="206" w:lineRule="exact"/>
        <w:textAlignment w:val="baseline"/>
        <w:rPr>
          <w:rFonts w:ascii="Arial" w:eastAsia="Arial" w:hAnsi="Arial" w:cs="Arial"/>
          <w:b/>
          <w:i/>
          <w:iCs/>
          <w:sz w:val="18"/>
          <w:szCs w:val="18"/>
          <w:lang w:val="es" w:eastAsia="zh-CN"/>
        </w:rPr>
      </w:pPr>
    </w:p>
    <w:p w14:paraId="5FAA4A2C" w14:textId="77777777" w:rsidR="00E14608" w:rsidRPr="00E14608" w:rsidRDefault="00E14608" w:rsidP="00E14608">
      <w:pPr>
        <w:widowControl w:val="0"/>
        <w:autoSpaceDE w:val="0"/>
        <w:autoSpaceDN w:val="0"/>
        <w:adjustRightInd w:val="0"/>
        <w:spacing w:line="206" w:lineRule="exact"/>
        <w:ind w:left="3754"/>
        <w:textAlignment w:val="baseline"/>
        <w:rPr>
          <w:lang w:val="es" w:eastAsia="zh-CN"/>
        </w:rPr>
      </w:pPr>
    </w:p>
    <w:p w14:paraId="22EC522D" w14:textId="77777777" w:rsidR="00E14608" w:rsidRPr="00E14608" w:rsidRDefault="00E14608" w:rsidP="00E14608">
      <w:pPr>
        <w:widowControl w:val="0"/>
        <w:autoSpaceDE w:val="0"/>
        <w:autoSpaceDN w:val="0"/>
        <w:adjustRightInd w:val="0"/>
        <w:spacing w:line="221" w:lineRule="exact"/>
        <w:ind w:left="710"/>
        <w:textAlignment w:val="baseline"/>
        <w:rPr>
          <w:lang w:val="es" w:eastAsia="zh-CN"/>
        </w:rPr>
      </w:pPr>
      <w:r w:rsidRPr="00E14608">
        <w:rPr>
          <w:rFonts w:ascii="Arial" w:eastAsia="Arial" w:hAnsi="Arial" w:cs="Arial"/>
          <w:b/>
          <w:sz w:val="19"/>
          <w:szCs w:val="19"/>
          <w:lang w:val="es" w:eastAsia="zh-CN"/>
        </w:rPr>
        <w:t xml:space="preserve">Cumplimiento de obligaciones de las unidades perceptoras. </w:t>
      </w:r>
    </w:p>
    <w:p w14:paraId="5F195A2B" w14:textId="77777777" w:rsidR="00E14608" w:rsidRPr="00E14608" w:rsidRDefault="00E14608" w:rsidP="00E14608">
      <w:pPr>
        <w:widowControl w:val="0"/>
        <w:autoSpaceDE w:val="0"/>
        <w:autoSpaceDN w:val="0"/>
        <w:adjustRightInd w:val="0"/>
        <w:spacing w:line="418" w:lineRule="exact"/>
        <w:ind w:left="5" w:firstLine="706"/>
        <w:jc w:val="both"/>
        <w:textAlignment w:val="baseline"/>
        <w:rPr>
          <w:lang w:val="es" w:eastAsia="zh-CN"/>
        </w:rPr>
      </w:pPr>
      <w:r w:rsidRPr="00E14608">
        <w:rPr>
          <w:rFonts w:ascii="Arial" w:eastAsia="Arial" w:hAnsi="Arial" w:cs="Arial"/>
          <w:sz w:val="20"/>
          <w:szCs w:val="20"/>
          <w:lang w:val="es" w:eastAsia="zh-CN"/>
        </w:rPr>
        <w:t xml:space="preserve">El artículo 18 de la Ley Foral 15/2016, de 11 de noviembre, por el que se regulan el derecho a la inclusión social y a la Renta Garantizada, establece las obligaciones de las unidades familiares perceptoras de la Renta Garantizada durante todo el periodo de percepción. </w:t>
      </w:r>
    </w:p>
    <w:p w14:paraId="6AA50AF2" w14:textId="77777777" w:rsidR="00E14608" w:rsidRPr="00E14608" w:rsidRDefault="00E14608" w:rsidP="00E14608">
      <w:pPr>
        <w:widowControl w:val="0"/>
        <w:autoSpaceDE w:val="0"/>
        <w:autoSpaceDN w:val="0"/>
        <w:adjustRightInd w:val="0"/>
        <w:spacing w:before="4" w:line="418" w:lineRule="exact"/>
        <w:ind w:left="5" w:firstLine="715"/>
        <w:jc w:val="both"/>
        <w:textAlignment w:val="baseline"/>
        <w:rPr>
          <w:lang w:val="es" w:eastAsia="zh-CN"/>
        </w:rPr>
      </w:pPr>
      <w:r w:rsidRPr="00E14608">
        <w:rPr>
          <w:rFonts w:ascii="Arial" w:eastAsia="Arial" w:hAnsi="Arial" w:cs="Arial"/>
          <w:sz w:val="20"/>
          <w:szCs w:val="20"/>
          <w:lang w:val="es" w:eastAsia="zh-CN"/>
        </w:rPr>
        <w:t xml:space="preserve">En relación con el cumplimiento de lo establecido en este artículo, concluye el informe señalando que: </w:t>
      </w:r>
      <w:r w:rsidRPr="00E14608">
        <w:rPr>
          <w:rFonts w:ascii="Arial" w:eastAsia="Arial" w:hAnsi="Arial" w:cs="Arial"/>
          <w:b/>
          <w:i/>
          <w:iCs/>
          <w:sz w:val="18"/>
          <w:szCs w:val="18"/>
          <w:lang w:val="es" w:eastAsia="zh-CN"/>
        </w:rPr>
        <w:t xml:space="preserve">"En definitiva, </w:t>
      </w:r>
      <w:r w:rsidRPr="00E14608">
        <w:rPr>
          <w:i/>
          <w:iCs/>
          <w:sz w:val="22"/>
          <w:szCs w:val="22"/>
          <w:lang w:val="es" w:eastAsia="zh-CN"/>
        </w:rPr>
        <w:t xml:space="preserve">existen incumplimientos en cinco obligaciones de las unidades familiares perceptoras de RG, sin que se haya podido verificar el cumplimiento de las tres </w:t>
      </w:r>
      <w:r w:rsidRPr="00E14608">
        <w:rPr>
          <w:i/>
          <w:iCs/>
          <w:sz w:val="22"/>
          <w:szCs w:val="22"/>
          <w:lang w:val="es" w:eastAsia="zh-CN"/>
        </w:rPr>
        <w:lastRenderedPageBreak/>
        <w:t xml:space="preserve">restantes". </w:t>
      </w:r>
    </w:p>
    <w:p w14:paraId="58A1D242" w14:textId="77777777" w:rsidR="00E14608" w:rsidRPr="00E14608" w:rsidRDefault="00E14608" w:rsidP="00E14608">
      <w:pPr>
        <w:widowControl w:val="0"/>
        <w:autoSpaceDE w:val="0"/>
        <w:autoSpaceDN w:val="0"/>
        <w:adjustRightInd w:val="0"/>
        <w:spacing w:line="418" w:lineRule="exact"/>
        <w:ind w:left="5" w:firstLine="706"/>
        <w:jc w:val="both"/>
        <w:textAlignment w:val="baseline"/>
        <w:rPr>
          <w:lang w:val="es" w:eastAsia="zh-CN"/>
        </w:rPr>
      </w:pPr>
      <w:r w:rsidRPr="00E14608">
        <w:rPr>
          <w:rFonts w:ascii="Arial" w:eastAsia="Arial" w:hAnsi="Arial" w:cs="Arial"/>
          <w:sz w:val="20"/>
          <w:szCs w:val="20"/>
          <w:lang w:val="es" w:eastAsia="zh-CN"/>
        </w:rPr>
        <w:t xml:space="preserve">Resulta curioso concluir con un incumplimiento de la obligación cuando, justo en la valoración individualizada de cada uno de los requisitos considera que "no podemos opinar" sobre el cumplimiento o no de dicho requisito. Entendemos que, tal y como se señala en el informe, no se hayan podido obtener evidencias sobre su cumplimiento, pero eso no equivale a un incumplimiento. </w:t>
      </w:r>
    </w:p>
    <w:p w14:paraId="530C20D7" w14:textId="77777777" w:rsidR="00E14608" w:rsidRPr="00E14608" w:rsidRDefault="00E14608" w:rsidP="00E14608">
      <w:pPr>
        <w:widowControl w:val="0"/>
        <w:autoSpaceDE w:val="0"/>
        <w:autoSpaceDN w:val="0"/>
        <w:adjustRightInd w:val="0"/>
        <w:spacing w:line="418" w:lineRule="exact"/>
        <w:ind w:left="5" w:firstLine="706"/>
        <w:jc w:val="both"/>
        <w:textAlignment w:val="baseline"/>
        <w:rPr>
          <w:lang w:val="es" w:eastAsia="zh-CN"/>
        </w:rPr>
      </w:pPr>
      <w:r w:rsidRPr="00E14608">
        <w:rPr>
          <w:rFonts w:ascii="Arial" w:eastAsia="Arial" w:hAnsi="Arial" w:cs="Arial"/>
          <w:sz w:val="20"/>
          <w:szCs w:val="20"/>
          <w:lang w:val="es" w:eastAsia="zh-CN"/>
        </w:rPr>
        <w:t xml:space="preserve">Por otra parte, valorar la actuación de la Administración en relación con el cumplimiento de dichas obligaciones, en paralelo a los obligados, y en los términos en los que lo hace el informe, induce a confusión, cuando es realmente la actuación de la Administración la que evidencia el incumplimiento de las obligaciones por parte de los beneficiarios de RG. </w:t>
      </w:r>
    </w:p>
    <w:p w14:paraId="1354C368" w14:textId="77777777" w:rsidR="00E14608" w:rsidRPr="00E14608" w:rsidRDefault="00E14608" w:rsidP="00E14608">
      <w:pPr>
        <w:widowControl w:val="0"/>
        <w:autoSpaceDE w:val="0"/>
        <w:autoSpaceDN w:val="0"/>
        <w:adjustRightInd w:val="0"/>
        <w:spacing w:line="418" w:lineRule="exact"/>
        <w:ind w:left="5" w:firstLine="706"/>
        <w:jc w:val="both"/>
        <w:textAlignment w:val="baseline"/>
        <w:rPr>
          <w:rFonts w:ascii="Arial" w:eastAsia="Arial" w:hAnsi="Arial" w:cs="Arial"/>
          <w:sz w:val="20"/>
          <w:szCs w:val="20"/>
          <w:lang w:val="es" w:eastAsia="zh-CN"/>
        </w:rPr>
      </w:pPr>
      <w:r w:rsidRPr="00E14608">
        <w:rPr>
          <w:rFonts w:ascii="Arial" w:eastAsia="Arial" w:hAnsi="Arial" w:cs="Arial"/>
          <w:sz w:val="20"/>
          <w:szCs w:val="20"/>
          <w:lang w:val="es" w:eastAsia="zh-CN"/>
        </w:rPr>
        <w:t>Son los mecanismos de respuesta que tiene la Administración ante los posibles incumplimientos de los obligados los que hay que valorar, no la actitud de las personas.</w:t>
      </w:r>
    </w:p>
    <w:p w14:paraId="35D92474" w14:textId="77777777" w:rsidR="00E14608" w:rsidRPr="00E14608" w:rsidRDefault="00E14608" w:rsidP="00E14608">
      <w:pPr>
        <w:widowControl w:val="0"/>
        <w:autoSpaceDE w:val="0"/>
        <w:autoSpaceDN w:val="0"/>
        <w:adjustRightInd w:val="0"/>
        <w:spacing w:line="418" w:lineRule="exact"/>
        <w:ind w:left="5" w:firstLine="706"/>
        <w:jc w:val="both"/>
        <w:textAlignment w:val="baseline"/>
        <w:rPr>
          <w:lang w:val="es" w:eastAsia="zh-CN"/>
        </w:rPr>
      </w:pPr>
      <w:r w:rsidRPr="00E14608">
        <w:rPr>
          <w:rFonts w:ascii="Arial" w:eastAsia="Arial" w:hAnsi="Arial" w:cs="Arial"/>
          <w:sz w:val="20"/>
          <w:szCs w:val="20"/>
          <w:lang w:val="es" w:eastAsia="zh-CN"/>
        </w:rPr>
        <w:t xml:space="preserve">Dicho de otra forma, lo relevante no es que haya incumplimientos, sino que esos incumplimientos tengan consecuencias. </w:t>
      </w:r>
    </w:p>
    <w:p w14:paraId="66584E67" w14:textId="77777777" w:rsidR="00E14608" w:rsidRPr="00E14608" w:rsidRDefault="00E14608" w:rsidP="00E14608">
      <w:pPr>
        <w:widowControl w:val="0"/>
        <w:autoSpaceDE w:val="0"/>
        <w:autoSpaceDN w:val="0"/>
        <w:adjustRightInd w:val="0"/>
        <w:spacing w:before="4" w:line="418" w:lineRule="exact"/>
        <w:ind w:firstLine="710"/>
        <w:jc w:val="both"/>
        <w:textAlignment w:val="baseline"/>
        <w:rPr>
          <w:lang w:val="es" w:eastAsia="zh-CN"/>
        </w:rPr>
      </w:pPr>
      <w:r w:rsidRPr="00E14608">
        <w:rPr>
          <w:rFonts w:ascii="Arial" w:eastAsia="Arial" w:hAnsi="Arial" w:cs="Arial"/>
          <w:sz w:val="20"/>
          <w:szCs w:val="20"/>
          <w:lang w:val="es" w:eastAsia="zh-CN"/>
        </w:rPr>
        <w:t xml:space="preserve">Sin perjuicio de lo indicado en términos generales, y en relación con las observaciones señaladas en alguna de las obligaciones del artículo 18 de la Ley debe precisarse (Pág. 9) : </w:t>
      </w:r>
    </w:p>
    <w:p w14:paraId="64C4C492" w14:textId="77777777" w:rsidR="00E14608" w:rsidRPr="00E14608" w:rsidRDefault="00E14608" w:rsidP="00E14608">
      <w:pPr>
        <w:widowControl w:val="0"/>
        <w:autoSpaceDE w:val="0"/>
        <w:autoSpaceDN w:val="0"/>
        <w:adjustRightInd w:val="0"/>
        <w:spacing w:before="5" w:line="418" w:lineRule="exact"/>
        <w:ind w:firstLine="710"/>
        <w:jc w:val="both"/>
        <w:textAlignment w:val="baseline"/>
        <w:rPr>
          <w:lang w:val="es" w:eastAsia="zh-CN"/>
        </w:rPr>
      </w:pPr>
      <w:r w:rsidRPr="00E14608">
        <w:rPr>
          <w:rFonts w:ascii="Arial" w:eastAsia="Arial" w:hAnsi="Arial" w:cs="Arial"/>
          <w:sz w:val="20"/>
          <w:szCs w:val="20"/>
          <w:lang w:val="es" w:eastAsia="zh-CN"/>
        </w:rPr>
        <w:t xml:space="preserve">a) Residir de forma efectiva continuada y efectiva en Navarra durante todo el periodo de percepción de la prestación: Se verifica su cumplimiento no sólo en las concesiones y renovaciones, sino también en las modificaciones. </w:t>
      </w:r>
    </w:p>
    <w:p w14:paraId="6BB5F83E" w14:textId="77777777" w:rsidR="00E14608" w:rsidRPr="00E14608" w:rsidRDefault="00E14608" w:rsidP="00E14608">
      <w:pPr>
        <w:widowControl w:val="0"/>
        <w:autoSpaceDE w:val="0"/>
        <w:autoSpaceDN w:val="0"/>
        <w:adjustRightInd w:val="0"/>
        <w:spacing w:before="5" w:line="418" w:lineRule="exact"/>
        <w:ind w:firstLine="710"/>
        <w:jc w:val="both"/>
        <w:textAlignment w:val="baseline"/>
        <w:rPr>
          <w:lang w:val="es" w:eastAsia="zh-CN"/>
        </w:rPr>
      </w:pPr>
      <w:r w:rsidRPr="00E14608">
        <w:rPr>
          <w:rFonts w:ascii="Arial" w:eastAsia="Arial" w:hAnsi="Arial" w:cs="Arial"/>
          <w:sz w:val="20"/>
          <w:szCs w:val="20"/>
          <w:lang w:val="es" w:eastAsia="zh-CN"/>
        </w:rPr>
        <w:t xml:space="preserve">b) Solicitar, durante todo el periodo de percepción de la prestación, todo derecho a prestación de contenido económico que pudiera corresponder tanto a la persona solicitante como a cualquiera de los miembros de la unidad familiar: Se refiere el informe al Ingreso Mínimo Vital ( IMV) como única prestación que, con carácter previo, deben solicitar los posibles beneficiarios de RG, cuando en realidad la RG es subsidiaria y complementaria de cualquier otro tipo de recursos y prestaciones económicas, ya sean subsidios, pensiones, o cualquier derecho de contenido económico. Así, entre la documentación a presentar por los solicitantes se incluye una declaración jurada, en la que se afirma haber solicitado previamente cualquier prestación que pudiera corresponderle. </w:t>
      </w:r>
    </w:p>
    <w:p w14:paraId="3F014F3F" w14:textId="77777777" w:rsidR="00E14608" w:rsidRPr="00E14608" w:rsidRDefault="00E14608" w:rsidP="00E14608">
      <w:pPr>
        <w:widowControl w:val="0"/>
        <w:autoSpaceDE w:val="0"/>
        <w:autoSpaceDN w:val="0"/>
        <w:adjustRightInd w:val="0"/>
        <w:spacing w:before="5" w:line="418" w:lineRule="exact"/>
        <w:ind w:firstLine="710"/>
        <w:jc w:val="both"/>
        <w:textAlignment w:val="baseline"/>
        <w:rPr>
          <w:rFonts w:ascii="Arial" w:eastAsia="Arial" w:hAnsi="Arial" w:cs="Arial"/>
          <w:sz w:val="20"/>
          <w:szCs w:val="20"/>
          <w:lang w:val="es" w:eastAsia="zh-CN"/>
        </w:rPr>
      </w:pPr>
      <w:r w:rsidRPr="00E14608">
        <w:rPr>
          <w:rFonts w:ascii="Arial" w:eastAsia="Arial" w:hAnsi="Arial" w:cs="Arial"/>
          <w:sz w:val="20"/>
          <w:szCs w:val="20"/>
          <w:lang w:val="es" w:eastAsia="zh-CN"/>
        </w:rPr>
        <w:t>c) Mantenerse, todas las personas perceptoras en edad laboral, disponibles para las ofertas de empleo adecuado, aceptándolas cuando se produzcan, salvo cuando se trate de personas que, a juicio de los servicios públicos que se establezcan reglamentariamente, no</w:t>
      </w:r>
    </w:p>
    <w:p w14:paraId="3049ECF1" w14:textId="77777777" w:rsidR="00E14608" w:rsidRPr="00E14608" w:rsidRDefault="00E14608" w:rsidP="00E14608">
      <w:pPr>
        <w:widowControl w:val="0"/>
        <w:autoSpaceDE w:val="0"/>
        <w:autoSpaceDN w:val="0"/>
        <w:adjustRightInd w:val="0"/>
        <w:spacing w:before="5" w:line="418" w:lineRule="exact"/>
        <w:jc w:val="both"/>
        <w:textAlignment w:val="baseline"/>
        <w:rPr>
          <w:rFonts w:ascii="Arial" w:eastAsia="Arial" w:hAnsi="Arial" w:cs="Arial"/>
          <w:sz w:val="20"/>
          <w:szCs w:val="20"/>
          <w:lang w:val="es" w:eastAsia="zh-CN"/>
        </w:rPr>
      </w:pPr>
      <w:r w:rsidRPr="00E14608">
        <w:rPr>
          <w:rFonts w:ascii="Arial" w:eastAsia="Arial" w:hAnsi="Arial" w:cs="Arial"/>
          <w:sz w:val="20"/>
          <w:szCs w:val="20"/>
          <w:lang w:val="es" w:eastAsia="zh-CN"/>
        </w:rPr>
        <w:t xml:space="preserve">se encuentren en situación de incorporarse al mercado laboral ni a un empleo protegido: El </w:t>
      </w:r>
      <w:r w:rsidRPr="00E14608">
        <w:rPr>
          <w:rFonts w:ascii="Arial" w:eastAsia="Arial" w:hAnsi="Arial" w:cs="Arial"/>
          <w:sz w:val="20"/>
          <w:szCs w:val="20"/>
          <w:lang w:val="es" w:eastAsia="zh-CN"/>
        </w:rPr>
        <w:lastRenderedPageBreak/>
        <w:t>Departamento controla de forma mensual este requisito; de la redacción del informe puede concluirse que, durante 5 meses de 2023, el Departamento no llevó a cabo el control de este requisito, cuando en realidad se trató de un fallo del sistema de control, no detectado a tiempo. Este fallo fue algo puntual, y una vez detectado y corregido se está comprobando su correcto funcionamiento.</w:t>
      </w:r>
    </w:p>
    <w:p w14:paraId="1F13B737" w14:textId="77777777" w:rsidR="00E14608" w:rsidRPr="00E14608" w:rsidRDefault="00E14608" w:rsidP="00E14608">
      <w:pPr>
        <w:widowControl w:val="0"/>
        <w:autoSpaceDE w:val="0"/>
        <w:autoSpaceDN w:val="0"/>
        <w:adjustRightInd w:val="0"/>
        <w:spacing w:before="5" w:line="418" w:lineRule="exact"/>
        <w:jc w:val="both"/>
        <w:textAlignment w:val="baseline"/>
        <w:rPr>
          <w:rFonts w:ascii="Arial" w:eastAsia="Arial" w:hAnsi="Arial" w:cs="Arial"/>
          <w:sz w:val="20"/>
          <w:szCs w:val="20"/>
          <w:lang w:val="es" w:eastAsia="zh-CN"/>
        </w:rPr>
      </w:pPr>
    </w:p>
    <w:p w14:paraId="52686E67" w14:textId="77777777" w:rsidR="00E14608" w:rsidRPr="00E14608" w:rsidRDefault="00E14608" w:rsidP="00E14608">
      <w:pPr>
        <w:widowControl w:val="0"/>
        <w:autoSpaceDE w:val="0"/>
        <w:autoSpaceDN w:val="0"/>
        <w:adjustRightInd w:val="0"/>
        <w:spacing w:before="5" w:line="418" w:lineRule="exact"/>
        <w:ind w:firstLine="708"/>
        <w:jc w:val="both"/>
        <w:textAlignment w:val="baseline"/>
        <w:rPr>
          <w:lang w:val="es" w:eastAsia="zh-CN"/>
        </w:rPr>
      </w:pPr>
      <w:r w:rsidRPr="00E14608">
        <w:rPr>
          <w:rFonts w:ascii="Arial" w:eastAsia="Arial" w:hAnsi="Arial" w:cs="Arial"/>
          <w:b/>
          <w:sz w:val="19"/>
          <w:szCs w:val="19"/>
          <w:lang w:val="es" w:eastAsia="zh-CN"/>
        </w:rPr>
        <w:t xml:space="preserve">Cumplimiento de obligaciones por parte de la Administración Pública </w:t>
      </w:r>
      <w:r w:rsidRPr="00E14608">
        <w:rPr>
          <w:b/>
          <w:sz w:val="20"/>
          <w:szCs w:val="20"/>
          <w:lang w:val="es" w:eastAsia="zh-CN"/>
        </w:rPr>
        <w:t xml:space="preserve">y </w:t>
      </w:r>
      <w:r w:rsidRPr="00E14608">
        <w:rPr>
          <w:rFonts w:ascii="Arial" w:eastAsia="Arial" w:hAnsi="Arial" w:cs="Arial"/>
          <w:b/>
          <w:sz w:val="19"/>
          <w:szCs w:val="19"/>
          <w:lang w:val="es" w:eastAsia="zh-CN"/>
        </w:rPr>
        <w:t xml:space="preserve">Servicios Sociales de Base del artículo 34. </w:t>
      </w:r>
    </w:p>
    <w:p w14:paraId="0B6052D1" w14:textId="77777777" w:rsidR="00E14608" w:rsidRPr="00E14608" w:rsidRDefault="00E14608" w:rsidP="00E14608">
      <w:pPr>
        <w:widowControl w:val="0"/>
        <w:autoSpaceDE w:val="0"/>
        <w:autoSpaceDN w:val="0"/>
        <w:adjustRightInd w:val="0"/>
        <w:spacing w:line="418" w:lineRule="exact"/>
        <w:ind w:left="5" w:right="29" w:firstLine="715"/>
        <w:textAlignment w:val="baseline"/>
        <w:rPr>
          <w:lang w:val="es" w:eastAsia="zh-CN"/>
        </w:rPr>
      </w:pPr>
      <w:r w:rsidRPr="00E14608">
        <w:rPr>
          <w:rFonts w:ascii="Arial" w:eastAsia="Arial" w:hAnsi="Arial" w:cs="Arial"/>
          <w:sz w:val="20"/>
          <w:szCs w:val="20"/>
          <w:lang w:val="es" w:eastAsia="zh-CN"/>
        </w:rPr>
        <w:t xml:space="preserve">Concluye el informe sobre este aspecto: </w:t>
      </w:r>
      <w:r w:rsidRPr="00E14608">
        <w:rPr>
          <w:rFonts w:ascii="Arial" w:eastAsia="Arial" w:hAnsi="Arial" w:cs="Arial"/>
          <w:b/>
          <w:sz w:val="19"/>
          <w:szCs w:val="19"/>
          <w:lang w:val="es" w:eastAsia="zh-CN"/>
        </w:rPr>
        <w:t xml:space="preserve">"En definitiva, </w:t>
      </w:r>
      <w:r w:rsidRPr="00E14608">
        <w:rPr>
          <w:rFonts w:ascii="Arial" w:eastAsia="Arial" w:hAnsi="Arial" w:cs="Arial"/>
          <w:sz w:val="20"/>
          <w:szCs w:val="20"/>
          <w:lang w:val="es" w:eastAsia="zh-CN"/>
        </w:rPr>
        <w:t xml:space="preserve">los SSB cumplen con dos de sus tres obligaciones, sin que hayamos podido obtener evidencia sobre la restante. En cuanto a las Administraciones Publicas cumplió con su obligación de ofrecer formación y la posibilidad de participar en una opción de empleo al menos al 67% de personas perceptoras de RG durante un periodo ininterrumpido de al menos 24 meses, sin que hayamos podido concluir sobre el resto de casos al no disponer de información sobre el posible rechazo de ofertas de empleo y formación". </w:t>
      </w:r>
    </w:p>
    <w:p w14:paraId="0955D6E6" w14:textId="77777777" w:rsidR="00E14608" w:rsidRPr="00E14608" w:rsidRDefault="00E14608" w:rsidP="00E14608">
      <w:pPr>
        <w:widowControl w:val="0"/>
        <w:autoSpaceDE w:val="0"/>
        <w:autoSpaceDN w:val="0"/>
        <w:adjustRightInd w:val="0"/>
        <w:spacing w:before="162" w:line="418" w:lineRule="exact"/>
        <w:ind w:firstLine="730"/>
        <w:jc w:val="both"/>
        <w:textAlignment w:val="baseline"/>
        <w:rPr>
          <w:lang w:val="es" w:eastAsia="zh-CN"/>
        </w:rPr>
      </w:pPr>
      <w:r w:rsidRPr="00E14608">
        <w:rPr>
          <w:rFonts w:ascii="Arial" w:eastAsia="Arial" w:hAnsi="Arial" w:cs="Arial"/>
          <w:sz w:val="20"/>
          <w:szCs w:val="20"/>
          <w:lang w:val="es" w:eastAsia="zh-CN"/>
        </w:rPr>
        <w:t xml:space="preserve">No se comparte la interpretación realizada del artículo 34.3 de la Ley Foral 15/2016, de 11 de noviembre, que regulan los derechos a la inclusión social y a la renta garantizada (en adelante Ley Foral 15/2016). Este precepto establece que </w:t>
      </w:r>
      <w:r w:rsidRPr="00E14608">
        <w:rPr>
          <w:rFonts w:ascii="Arial" w:eastAsia="Arial" w:hAnsi="Arial" w:cs="Arial"/>
          <w:i/>
          <w:iCs/>
          <w:sz w:val="20"/>
          <w:szCs w:val="20"/>
          <w:lang w:val="es" w:eastAsia="zh-CN"/>
        </w:rPr>
        <w:t xml:space="preserve">"en el caso de que la unidad familiar haya sido perceptora de Renta Garantizada por un periodo continuo de al menos veinticuatro meses, la Administración Pública correspondiente deberá ofertarle, en su caso, al menos la posibilidad de participar en un programa de Empleo Social Protegido u otra opción de empleo y/o formación, salvo que, a juicio de los servicios públicos que se establezcan reglamentariamente, sus miembros no se encuentren en condiciones de incorporarse al mismo." </w:t>
      </w:r>
    </w:p>
    <w:p w14:paraId="3D21E728" w14:textId="77777777" w:rsidR="00E14608" w:rsidRPr="00E14608" w:rsidRDefault="00E14608" w:rsidP="00E14608">
      <w:pPr>
        <w:widowControl w:val="0"/>
        <w:autoSpaceDE w:val="0"/>
        <w:autoSpaceDN w:val="0"/>
        <w:adjustRightInd w:val="0"/>
        <w:spacing w:line="422" w:lineRule="exact"/>
        <w:ind w:left="10" w:firstLine="710"/>
        <w:jc w:val="both"/>
        <w:textAlignment w:val="baseline"/>
        <w:rPr>
          <w:lang w:val="es" w:eastAsia="zh-CN"/>
        </w:rPr>
      </w:pPr>
      <w:r w:rsidRPr="00E14608">
        <w:rPr>
          <w:rFonts w:ascii="Arial" w:eastAsia="Arial" w:hAnsi="Arial" w:cs="Arial"/>
          <w:sz w:val="20"/>
          <w:szCs w:val="20"/>
          <w:lang w:val="es" w:eastAsia="zh-CN"/>
        </w:rPr>
        <w:t xml:space="preserve">En el informe de la Cámara de Comptos (páginas 10, 11 y 36) se interpreta esta obligación como la necesidad de ofertar a todas las personas perceptoras de renta garantizada en el plazo máximo de 24 meses continuados, un contrato de trabajo o una acción formativa. </w:t>
      </w:r>
    </w:p>
    <w:p w14:paraId="58ADCCCF" w14:textId="77777777" w:rsidR="00E14608" w:rsidRPr="00E14608" w:rsidRDefault="00E14608" w:rsidP="00E14608">
      <w:pPr>
        <w:widowControl w:val="0"/>
        <w:autoSpaceDE w:val="0"/>
        <w:autoSpaceDN w:val="0"/>
        <w:adjustRightInd w:val="0"/>
        <w:spacing w:line="422" w:lineRule="exact"/>
        <w:ind w:left="10" w:firstLine="710"/>
        <w:jc w:val="both"/>
        <w:textAlignment w:val="baseline"/>
        <w:rPr>
          <w:rFonts w:ascii="Arial" w:eastAsia="Arial" w:hAnsi="Arial" w:cs="Arial"/>
          <w:sz w:val="20"/>
          <w:szCs w:val="20"/>
          <w:lang w:val="es" w:eastAsia="zh-CN"/>
        </w:rPr>
      </w:pPr>
      <w:r w:rsidRPr="00E14608">
        <w:rPr>
          <w:rFonts w:ascii="Arial" w:eastAsia="Arial" w:hAnsi="Arial" w:cs="Arial"/>
          <w:sz w:val="20"/>
          <w:szCs w:val="20"/>
          <w:lang w:val="es" w:eastAsia="zh-CN"/>
        </w:rPr>
        <w:t xml:space="preserve">Sin embargo, esto no encaja con lo dispuesto en la normativa de empleo, que incluye como "servicios de empleo", además de la formación y la colocación, la orientación profesional y el asesoramiento para el autoempleo y emprendimiento. Cuando se aprobó la Ley Foral 15/2016, estaba vigente el Real Decreto Legislativo 3/2015, de 23 de octubre, que aprueba el texto refundido de la Ley de Empleo (en adelante Ley de Empleo). El artículo 36 de esta norma incluía en el </w:t>
      </w:r>
      <w:r w:rsidRPr="00E14608">
        <w:rPr>
          <w:rFonts w:ascii="Arial" w:eastAsia="Arial" w:hAnsi="Arial" w:cs="Arial"/>
          <w:sz w:val="20"/>
          <w:szCs w:val="20"/>
          <w:lang w:val="es" w:eastAsia="zh-CN"/>
        </w:rPr>
        <w:lastRenderedPageBreak/>
        <w:t xml:space="preserve">concepto de política activa de empleo los programas de orientación, empleo y formación profesional para el empleo en el ámbito laboral dirigido a mejorar las posibilidades de acceso al empleo. </w:t>
      </w:r>
    </w:p>
    <w:p w14:paraId="1E9714E4" w14:textId="77777777" w:rsidR="00E14608" w:rsidRPr="00E14608" w:rsidRDefault="00E14608" w:rsidP="00E14608">
      <w:pPr>
        <w:widowControl w:val="0"/>
        <w:autoSpaceDE w:val="0"/>
        <w:autoSpaceDN w:val="0"/>
        <w:adjustRightInd w:val="0"/>
        <w:spacing w:before="167" w:line="418" w:lineRule="exact"/>
        <w:ind w:firstLine="706"/>
        <w:jc w:val="both"/>
        <w:textAlignment w:val="baseline"/>
        <w:rPr>
          <w:lang w:val="es" w:eastAsia="zh-CN"/>
        </w:rPr>
      </w:pPr>
      <w:r w:rsidRPr="00E14608">
        <w:rPr>
          <w:rFonts w:ascii="Arial" w:eastAsia="Arial" w:hAnsi="Arial" w:cs="Arial"/>
          <w:sz w:val="20"/>
          <w:szCs w:val="20"/>
          <w:lang w:val="es" w:eastAsia="zh-CN"/>
        </w:rPr>
        <w:t xml:space="preserve">Por ello, cuando se refiere a ofertar a las personas perceptoras de renta garantizada una "opción de empleo y/o formación" siempre se ha interpretado como ofertarles una política activa de empleo incluida en la cartera común de servicios de empleo, y concretamente un servicio de orientación, formación, colocación y emprendimiento y autoempleo. Esta interpretación cuadra con los procedimientos de derivación establecidos entre el Departamento de Derechos Sociales, Economía Social y Empleo y el Servicio Navarro de Empleo- Nafar Lansare (en adelante SNE-NL). Igualmente, cuadra con el protocolo de seguimiento y control de la obligación de mantenerse disponible para el empleo ejecutado por el Departamento desde 2018. </w:t>
      </w:r>
    </w:p>
    <w:p w14:paraId="250933B0" w14:textId="77777777" w:rsidR="00E14608" w:rsidRPr="00E14608" w:rsidRDefault="00E14608" w:rsidP="00E14608">
      <w:pPr>
        <w:widowControl w:val="0"/>
        <w:autoSpaceDE w:val="0"/>
        <w:autoSpaceDN w:val="0"/>
        <w:adjustRightInd w:val="0"/>
        <w:spacing w:line="418" w:lineRule="exact"/>
        <w:ind w:left="10" w:firstLine="715"/>
        <w:jc w:val="both"/>
        <w:textAlignment w:val="baseline"/>
        <w:rPr>
          <w:lang w:val="es" w:eastAsia="zh-CN"/>
        </w:rPr>
      </w:pPr>
      <w:r w:rsidRPr="00E14608">
        <w:rPr>
          <w:rFonts w:ascii="Arial" w:eastAsia="Arial" w:hAnsi="Arial" w:cs="Arial"/>
          <w:sz w:val="20"/>
          <w:szCs w:val="20"/>
          <w:lang w:val="es" w:eastAsia="zh-CN"/>
        </w:rPr>
        <w:t xml:space="preserve">De hecho, la normativa de empleo configura el servicio de orientación profesional como el primer servicio que deben recibir las personas usuarias, obligatoriamente las personas pertenecientes a colectivos prioritarios (entre las que se encuentran las perceptoras de renta garantizada), para poder articular su búsqueda activa de empleo, identificando las actuaciones requeridas para lograr su reinserción laboral. De hecho, sin recibir servicios de orientación difícilmente una persona en situación de exclusión va a poder participar en una acción formativa o en otro programa del Organismo. Precisamente, recibir estos servicios de orientación permite derivar a estas personas a programas específicos y que resulten admitidos con carácter preferente respecto a otras personas desempleadas. </w:t>
      </w:r>
    </w:p>
    <w:p w14:paraId="6D10BE00" w14:textId="77777777" w:rsidR="00E14608" w:rsidRPr="00E14608" w:rsidRDefault="00E14608" w:rsidP="00E14608">
      <w:pPr>
        <w:widowControl w:val="0"/>
        <w:autoSpaceDE w:val="0"/>
        <w:autoSpaceDN w:val="0"/>
        <w:adjustRightInd w:val="0"/>
        <w:spacing w:before="167" w:line="418" w:lineRule="exact"/>
        <w:ind w:left="5" w:firstLine="706"/>
        <w:jc w:val="both"/>
        <w:textAlignment w:val="baseline"/>
        <w:rPr>
          <w:lang w:val="es" w:eastAsia="zh-CN"/>
        </w:rPr>
      </w:pPr>
      <w:r w:rsidRPr="00E14608">
        <w:rPr>
          <w:rFonts w:ascii="Arial" w:eastAsia="Arial" w:hAnsi="Arial" w:cs="Arial"/>
          <w:sz w:val="20"/>
          <w:szCs w:val="20"/>
          <w:lang w:val="es" w:eastAsia="zh-CN"/>
        </w:rPr>
        <w:t xml:space="preserve">A efectos, de comprobar si se ha cumplido la obligación de proporcionar a las personas perceptoras de renta garantizada durante un periodo continuado de 24 meses, una opción de empleo y/o formación hay que incluir a las personas a las que se les ha ofrecido el servicio de orientación profesional. </w:t>
      </w:r>
    </w:p>
    <w:p w14:paraId="4C1CBFDB" w14:textId="73BE2767" w:rsidR="00E14608" w:rsidRPr="00E14608" w:rsidRDefault="00E14608" w:rsidP="00E14608">
      <w:pPr>
        <w:widowControl w:val="0"/>
        <w:autoSpaceDE w:val="0"/>
        <w:autoSpaceDN w:val="0"/>
        <w:adjustRightInd w:val="0"/>
        <w:spacing w:before="167" w:line="418" w:lineRule="exact"/>
        <w:ind w:left="5" w:firstLine="706"/>
        <w:jc w:val="both"/>
        <w:textAlignment w:val="baseline"/>
        <w:rPr>
          <w:lang w:val="es" w:eastAsia="zh-CN"/>
        </w:rPr>
      </w:pPr>
      <w:r w:rsidRPr="00E14608">
        <w:rPr>
          <w:rFonts w:ascii="Arial" w:eastAsia="Arial" w:hAnsi="Arial" w:cs="Arial"/>
          <w:sz w:val="20"/>
          <w:szCs w:val="20"/>
          <w:lang w:val="es" w:eastAsia="zh-CN"/>
        </w:rPr>
        <w:t xml:space="preserve">Al igual que lo señalado en el apartado correspondiente al cumplimiento de las obligaciones por parte de los perceptores de Renta Garantizada, en este apartado donde se analizan las obligaciones de los SSB o de las Administraciones, lo relevante para valorar su cumplimiento, no puede ser el hecho de que los convocados, bien para la formación o para una oferta de trabajo, lo haya aceptado o no, sino que la obligación por parte de las distintas Administraciones se ha cumplido. </w:t>
      </w:r>
    </w:p>
    <w:p w14:paraId="05F90B68" w14:textId="77777777" w:rsidR="00E14608" w:rsidRPr="00E14608" w:rsidRDefault="00E14608" w:rsidP="00E14608">
      <w:pPr>
        <w:widowControl w:val="0"/>
        <w:autoSpaceDE w:val="0"/>
        <w:autoSpaceDN w:val="0"/>
        <w:adjustRightInd w:val="0"/>
        <w:spacing w:line="581" w:lineRule="exact"/>
        <w:ind w:left="720"/>
        <w:textAlignment w:val="baseline"/>
        <w:rPr>
          <w:lang w:val="es" w:eastAsia="zh-CN"/>
        </w:rPr>
      </w:pPr>
      <w:r w:rsidRPr="00E14608">
        <w:rPr>
          <w:rFonts w:ascii="Arial" w:eastAsia="Arial" w:hAnsi="Arial" w:cs="Arial"/>
          <w:b/>
          <w:w w:val="92"/>
          <w:sz w:val="20"/>
          <w:szCs w:val="20"/>
          <w:lang w:val="es" w:eastAsia="zh-CN"/>
        </w:rPr>
        <w:lastRenderedPageBreak/>
        <w:t xml:space="preserve">Evolución de indicadores de RG relacionados con el empleo. </w:t>
      </w:r>
    </w:p>
    <w:p w14:paraId="3E3735E6" w14:textId="77777777" w:rsidR="00E14608" w:rsidRPr="00E14608" w:rsidRDefault="00E14608" w:rsidP="00E14608">
      <w:pPr>
        <w:widowControl w:val="0"/>
        <w:autoSpaceDE w:val="0"/>
        <w:autoSpaceDN w:val="0"/>
        <w:adjustRightInd w:val="0"/>
        <w:spacing w:before="157" w:line="422" w:lineRule="exact"/>
        <w:ind w:left="5" w:firstLine="706"/>
        <w:textAlignment w:val="baseline"/>
        <w:rPr>
          <w:lang w:val="es" w:eastAsia="zh-CN"/>
        </w:rPr>
      </w:pPr>
      <w:r w:rsidRPr="00E14608">
        <w:rPr>
          <w:rFonts w:ascii="Arial" w:eastAsia="Arial" w:hAnsi="Arial" w:cs="Arial"/>
          <w:sz w:val="20"/>
          <w:szCs w:val="20"/>
          <w:lang w:val="es" w:eastAsia="zh-CN"/>
        </w:rPr>
        <w:t xml:space="preserve">Sobre la evolución de indicadores de la Renta Garantizada relacionado con el empleo, el informe indica: </w:t>
      </w:r>
    </w:p>
    <w:p w14:paraId="671B9D55" w14:textId="77777777" w:rsidR="00E14608" w:rsidRPr="00E14608" w:rsidRDefault="00E14608" w:rsidP="00E14608">
      <w:pPr>
        <w:widowControl w:val="0"/>
        <w:autoSpaceDE w:val="0"/>
        <w:autoSpaceDN w:val="0"/>
        <w:adjustRightInd w:val="0"/>
        <w:spacing w:before="162" w:line="418" w:lineRule="exact"/>
        <w:ind w:firstLine="715"/>
        <w:jc w:val="both"/>
        <w:textAlignment w:val="baseline"/>
        <w:rPr>
          <w:lang w:val="es" w:eastAsia="zh-CN"/>
        </w:rPr>
      </w:pPr>
      <w:r w:rsidRPr="00E14608">
        <w:rPr>
          <w:rFonts w:ascii="Arial" w:eastAsia="Arial" w:hAnsi="Arial" w:cs="Arial"/>
          <w:b/>
          <w:w w:val="92"/>
          <w:sz w:val="20"/>
          <w:szCs w:val="20"/>
          <w:lang w:val="es" w:eastAsia="zh-CN"/>
        </w:rPr>
        <w:t xml:space="preserve">"En conclusión, </w:t>
      </w:r>
      <w:r w:rsidRPr="00E14608">
        <w:rPr>
          <w:rFonts w:ascii="Arial" w:eastAsia="Arial" w:hAnsi="Arial" w:cs="Arial"/>
          <w:sz w:val="20"/>
          <w:szCs w:val="20"/>
          <w:lang w:val="es" w:eastAsia="zh-CN"/>
        </w:rPr>
        <w:t xml:space="preserve">si bien la RG se ha regulado en la normativa junto a la inclusión social vinculando ambos derechos con el fin de que las personas perceptoras puedan mejorar su acceso al mercado laboral y a la formación, la realidad es que, en 2023, del total de personas beneficiarias, el 56 </w:t>
      </w:r>
      <w:r w:rsidRPr="00E14608">
        <w:rPr>
          <w:rFonts w:ascii="Arial" w:eastAsia="Arial" w:hAnsi="Arial" w:cs="Arial"/>
          <w:w w:val="91"/>
          <w:sz w:val="20"/>
          <w:szCs w:val="20"/>
          <w:lang w:val="es" w:eastAsia="zh-CN"/>
        </w:rPr>
        <w:t xml:space="preserve">% </w:t>
      </w:r>
      <w:r w:rsidRPr="00E14608">
        <w:rPr>
          <w:rFonts w:ascii="Arial" w:eastAsia="Arial" w:hAnsi="Arial" w:cs="Arial"/>
          <w:sz w:val="20"/>
          <w:szCs w:val="20"/>
          <w:lang w:val="es" w:eastAsia="zh-CN"/>
        </w:rPr>
        <w:t xml:space="preserve">de las personas disponibles para el empleo (su gasto supone un 53% de los 103,05 millones) y de las que sí lo estaban, sólo obtuvo un trabajo un 26%. Por otro lado, en el periodo analizado, al menos hasta el 1 de enero de 2024, el 13% del total de personas beneficiarias de esta prestación dejó de percibirla por haber accedido a un trabajo, cifra significativamente baja". </w:t>
      </w:r>
    </w:p>
    <w:p w14:paraId="296FAB7C" w14:textId="77777777" w:rsidR="00E14608" w:rsidRPr="00E14608" w:rsidRDefault="00E14608" w:rsidP="00E14608">
      <w:pPr>
        <w:widowControl w:val="0"/>
        <w:autoSpaceDE w:val="0"/>
        <w:autoSpaceDN w:val="0"/>
        <w:adjustRightInd w:val="0"/>
        <w:spacing w:before="162" w:line="418" w:lineRule="exact"/>
        <w:ind w:firstLine="715"/>
        <w:jc w:val="both"/>
        <w:textAlignment w:val="baseline"/>
        <w:rPr>
          <w:lang w:val="es" w:eastAsia="zh-CN"/>
        </w:rPr>
      </w:pPr>
      <w:r w:rsidRPr="00E14608">
        <w:rPr>
          <w:rFonts w:ascii="Arial" w:eastAsia="Arial" w:hAnsi="Arial" w:cs="Arial"/>
          <w:sz w:val="20"/>
          <w:szCs w:val="20"/>
          <w:lang w:val="es" w:eastAsia="zh-CN"/>
        </w:rPr>
        <w:t xml:space="preserve">Los datos, y por tanto, los porcentajes resultantes, que maneja el órgano fiscalizador en este apartado difieren de los que maneja el Departamento en sus balances anuales que, a diferencia de los datos manejados por la Cámara, toma como referencia a personas que hayan sido perceptoras y hayan tenido contratos de trabajo en el mismo año (coincidan o no simultáneamente ambos hechos) a diferencia de la Cámara que sólo considera a los perceptores que, vigente la prestación, acceden a un empleo. </w:t>
      </w:r>
    </w:p>
    <w:p w14:paraId="3C127336" w14:textId="77777777" w:rsidR="00E14608" w:rsidRPr="00E14608" w:rsidRDefault="00E14608" w:rsidP="00E14608">
      <w:pPr>
        <w:widowControl w:val="0"/>
        <w:autoSpaceDE w:val="0"/>
        <w:autoSpaceDN w:val="0"/>
        <w:adjustRightInd w:val="0"/>
        <w:spacing w:before="162" w:line="418" w:lineRule="exact"/>
        <w:ind w:firstLine="715"/>
        <w:jc w:val="both"/>
        <w:textAlignment w:val="baseline"/>
        <w:rPr>
          <w:lang w:val="es" w:eastAsia="zh-CN"/>
        </w:rPr>
      </w:pPr>
      <w:r w:rsidRPr="00E14608">
        <w:rPr>
          <w:rFonts w:ascii="Arial" w:eastAsia="Arial" w:hAnsi="Arial" w:cs="Arial"/>
          <w:sz w:val="20"/>
          <w:szCs w:val="20"/>
          <w:lang w:val="es" w:eastAsia="zh-CN"/>
        </w:rPr>
        <w:t xml:space="preserve">Además de lo indicado, en el desarrollo de este aspecto se aprecian datos contradictorios, así en la página 12, en el punto referido al tiempo transcurrido entre que una persona deja de percibir RG por acceder a un trabajo y la retoma, se indica que "en el conjunto del periodo analizado, 21.563 personas dejaron de percibir la RG por distintos motivos, </w:t>
      </w:r>
      <w:r w:rsidRPr="00E14608">
        <w:rPr>
          <w:rFonts w:ascii="Arial" w:eastAsia="Arial" w:hAnsi="Arial" w:cs="Arial"/>
          <w:sz w:val="20"/>
          <w:szCs w:val="20"/>
          <w:u w:val="single"/>
          <w:lang w:val="es" w:eastAsia="zh-CN"/>
        </w:rPr>
        <w:t xml:space="preserve">pero volvieron a retomar a su prestación", </w:t>
      </w:r>
      <w:r w:rsidRPr="00E14608">
        <w:rPr>
          <w:rFonts w:ascii="Arial" w:eastAsia="Arial" w:hAnsi="Arial" w:cs="Arial"/>
          <w:sz w:val="20"/>
          <w:szCs w:val="20"/>
          <w:lang w:val="es" w:eastAsia="zh-CN"/>
        </w:rPr>
        <w:t xml:space="preserve">dando a entender que, todas las personas, en un momento u otro, vuelven a retomar la prestación, cuando en el apartado correspondiente al porcentaje de personas que dejan de percibir la RG por acceder al trabajo y no la retoman ente el total de personas beneficiarias, se señala que 3.673 personas dejaron de cobrar esta prestación y no lo vuelven a hacer; dato este que modifica el nº de personas que vuelven a retomar a la prestación. </w:t>
      </w:r>
    </w:p>
    <w:p w14:paraId="2ADABD2E" w14:textId="77777777" w:rsidR="00E14608" w:rsidRPr="00E14608" w:rsidRDefault="00E14608" w:rsidP="00E14608">
      <w:pPr>
        <w:widowControl w:val="0"/>
        <w:autoSpaceDE w:val="0"/>
        <w:autoSpaceDN w:val="0"/>
        <w:adjustRightInd w:val="0"/>
        <w:spacing w:line="418" w:lineRule="exact"/>
        <w:ind w:firstLine="715"/>
        <w:jc w:val="both"/>
        <w:textAlignment w:val="baseline"/>
        <w:rPr>
          <w:lang w:val="es" w:eastAsia="zh-CN"/>
        </w:rPr>
      </w:pPr>
      <w:r w:rsidRPr="00E14608">
        <w:rPr>
          <w:rFonts w:ascii="Arial" w:eastAsia="Arial" w:hAnsi="Arial" w:cs="Arial"/>
          <w:sz w:val="20"/>
          <w:szCs w:val="20"/>
          <w:lang w:val="es" w:eastAsia="zh-CN"/>
        </w:rPr>
        <w:t xml:space="preserve">Igualmente, existe contradicción en el dato de las personas perceptoras de renta garantizada durante un periodo continuado de 24 meses disponibles para el empleo que figura en la página 10 y en la página 34. En la página 10 se indica que en esta situación están 11.819 personas y sin embargo en la página 34 se indica que están en esta situación 11.945 personas, dependiendo de cuál sea la cifra correcta, variaran los porcentajes. </w:t>
      </w:r>
    </w:p>
    <w:p w14:paraId="24984A08" w14:textId="77777777" w:rsidR="00E14608" w:rsidRPr="00E14608" w:rsidRDefault="00E14608" w:rsidP="00E14608">
      <w:pPr>
        <w:widowControl w:val="0"/>
        <w:autoSpaceDE w:val="0"/>
        <w:autoSpaceDN w:val="0"/>
        <w:adjustRightInd w:val="0"/>
        <w:spacing w:line="418" w:lineRule="exact"/>
        <w:ind w:left="5" w:firstLine="715"/>
        <w:jc w:val="both"/>
        <w:textAlignment w:val="baseline"/>
        <w:rPr>
          <w:lang w:val="es" w:eastAsia="zh-CN"/>
        </w:rPr>
      </w:pPr>
      <w:r w:rsidRPr="00E14608">
        <w:rPr>
          <w:rFonts w:ascii="Arial" w:eastAsia="Arial" w:hAnsi="Arial" w:cs="Arial"/>
          <w:sz w:val="20"/>
          <w:szCs w:val="20"/>
          <w:lang w:val="es" w:eastAsia="zh-CN"/>
        </w:rPr>
        <w:lastRenderedPageBreak/>
        <w:t xml:space="preserve">En los aspectos generales de la Renta Garantizada, páginas 21 y 22, debe corregirse la nota 8, a pie de página, en el sentido de que tras, la entrada en vigor del Real Decreto Ley 2/2024, de 21 de mayo, una vez finalizada la percepción del subsidio de desempleo, y si cumplen los requisitos, podrán percibir el Ingreso Mínimo Vital. </w:t>
      </w:r>
    </w:p>
    <w:p w14:paraId="015CD0DA" w14:textId="77777777" w:rsidR="00E14608" w:rsidRPr="00E14608" w:rsidRDefault="00E14608" w:rsidP="00E14608">
      <w:pPr>
        <w:widowControl w:val="0"/>
        <w:autoSpaceDE w:val="0"/>
        <w:autoSpaceDN w:val="0"/>
        <w:adjustRightInd w:val="0"/>
        <w:spacing w:line="418" w:lineRule="exact"/>
        <w:ind w:left="5" w:firstLine="715"/>
        <w:jc w:val="both"/>
        <w:textAlignment w:val="baseline"/>
        <w:rPr>
          <w:lang w:val="es" w:eastAsia="zh-CN"/>
        </w:rPr>
      </w:pPr>
      <w:r w:rsidRPr="00E14608">
        <w:rPr>
          <w:rFonts w:ascii="Arial" w:eastAsia="Arial" w:hAnsi="Arial" w:cs="Arial"/>
          <w:sz w:val="20"/>
          <w:szCs w:val="20"/>
          <w:lang w:val="es" w:eastAsia="zh-CN"/>
        </w:rPr>
        <w:t xml:space="preserve">Por otra parte, en la página 22, en el apartado referido a las cuantías máximas, la cuantía máxima correspondiente a una unidad familiar de cuatro miembros no supera el SMI de 1 persona, siendo inferior a éste. </w:t>
      </w:r>
    </w:p>
    <w:p w14:paraId="60C4FAA8" w14:textId="77777777" w:rsidR="00E14608" w:rsidRPr="00E14608" w:rsidRDefault="00E14608" w:rsidP="00E14608">
      <w:pPr>
        <w:widowControl w:val="0"/>
        <w:autoSpaceDE w:val="0"/>
        <w:autoSpaceDN w:val="0"/>
        <w:adjustRightInd w:val="0"/>
        <w:spacing w:line="418" w:lineRule="exact"/>
        <w:ind w:left="5" w:firstLine="715"/>
        <w:jc w:val="both"/>
        <w:textAlignment w:val="baseline"/>
        <w:rPr>
          <w:lang w:val="es" w:eastAsia="zh-CN"/>
        </w:rPr>
      </w:pPr>
      <w:r w:rsidRPr="00E14608">
        <w:rPr>
          <w:rFonts w:ascii="Arial" w:eastAsia="Arial" w:hAnsi="Arial" w:cs="Arial"/>
          <w:sz w:val="20"/>
          <w:szCs w:val="20"/>
          <w:lang w:val="es" w:eastAsia="zh-CN"/>
        </w:rPr>
        <w:t xml:space="preserve">Finalmente, las conclusiones incluyen expresiones que suponen un juicio de valor, que en los términos formulados denotan una valoración negativa de los resultados </w:t>
      </w:r>
    </w:p>
    <w:p w14:paraId="7FD0F976" w14:textId="77777777" w:rsidR="00E14608" w:rsidRPr="00E14608" w:rsidRDefault="00E14608" w:rsidP="00E14608">
      <w:pPr>
        <w:widowControl w:val="0"/>
        <w:tabs>
          <w:tab w:val="left" w:pos="5"/>
          <w:tab w:val="left" w:leader="dot" w:pos="3327"/>
        </w:tabs>
        <w:autoSpaceDE w:val="0"/>
        <w:autoSpaceDN w:val="0"/>
        <w:adjustRightInd w:val="0"/>
        <w:spacing w:line="422" w:lineRule="exact"/>
        <w:textAlignment w:val="baseline"/>
        <w:rPr>
          <w:lang w:val="es" w:eastAsia="zh-CN"/>
        </w:rPr>
      </w:pPr>
      <w:r w:rsidRPr="00E14608">
        <w:rPr>
          <w:rFonts w:ascii="Arial" w:eastAsia="Arial" w:hAnsi="Arial" w:cs="Arial"/>
          <w:b/>
          <w:sz w:val="19"/>
          <w:szCs w:val="19"/>
          <w:lang w:val="es" w:eastAsia="zh-CN"/>
        </w:rPr>
        <w:tab/>
        <w:t xml:space="preserve">(sólo </w:t>
      </w:r>
      <w:r w:rsidRPr="00E14608">
        <w:rPr>
          <w:rFonts w:ascii="Arial" w:eastAsia="Arial" w:hAnsi="Arial" w:cs="Arial"/>
          <w:sz w:val="20"/>
          <w:szCs w:val="20"/>
          <w:lang w:val="es" w:eastAsia="zh-CN"/>
        </w:rPr>
        <w:t xml:space="preserve">obtuvo un trabajo un 26%; </w:t>
      </w:r>
      <w:r w:rsidRPr="00E14608">
        <w:rPr>
          <w:rFonts w:ascii="Arial" w:eastAsia="Arial" w:hAnsi="Arial" w:cs="Arial"/>
          <w:sz w:val="20"/>
          <w:szCs w:val="20"/>
          <w:lang w:val="es" w:eastAsia="zh-CN"/>
        </w:rPr>
        <w:tab/>
        <w:t xml:space="preserve">haber accedido a un trabajo, </w:t>
      </w:r>
      <w:r w:rsidRPr="00E14608">
        <w:rPr>
          <w:rFonts w:ascii="Arial" w:eastAsia="Arial" w:hAnsi="Arial" w:cs="Arial"/>
          <w:b/>
          <w:sz w:val="19"/>
          <w:szCs w:val="19"/>
          <w:lang w:val="es" w:eastAsia="zh-CN"/>
        </w:rPr>
        <w:t xml:space="preserve">cifra significativamente </w:t>
      </w:r>
    </w:p>
    <w:p w14:paraId="0EFF27E5" w14:textId="77777777" w:rsidR="00E14608" w:rsidRPr="00E14608" w:rsidRDefault="00E14608" w:rsidP="00E14608">
      <w:pPr>
        <w:widowControl w:val="0"/>
        <w:autoSpaceDE w:val="0"/>
        <w:autoSpaceDN w:val="0"/>
        <w:adjustRightInd w:val="0"/>
        <w:spacing w:before="4" w:line="418" w:lineRule="exact"/>
        <w:ind w:left="5"/>
        <w:jc w:val="both"/>
        <w:textAlignment w:val="baseline"/>
        <w:rPr>
          <w:lang w:val="es" w:eastAsia="zh-CN"/>
        </w:rPr>
      </w:pPr>
      <w:r w:rsidRPr="00E14608">
        <w:rPr>
          <w:rFonts w:ascii="Arial" w:eastAsia="Arial" w:hAnsi="Arial" w:cs="Arial"/>
          <w:b/>
          <w:sz w:val="19"/>
          <w:szCs w:val="19"/>
          <w:lang w:val="es" w:eastAsia="zh-CN"/>
        </w:rPr>
        <w:t xml:space="preserve">baja); </w:t>
      </w:r>
      <w:r w:rsidRPr="00E14608">
        <w:rPr>
          <w:rFonts w:ascii="Arial" w:eastAsia="Arial" w:hAnsi="Arial" w:cs="Arial"/>
          <w:sz w:val="20"/>
          <w:szCs w:val="20"/>
          <w:lang w:val="es" w:eastAsia="zh-CN"/>
        </w:rPr>
        <w:t xml:space="preserve">se considera que, al margen de su procedencia en este tipo de informe, la valoración no puede hacerse únicamente atendiendo a datos cuantitativos, sin atender al perfil y a la realidad de los perceptores de Renta Garantizada. </w:t>
      </w:r>
    </w:p>
    <w:p w14:paraId="6DAA31C3" w14:textId="77777777" w:rsidR="00E14608" w:rsidRPr="00E14608" w:rsidRDefault="00E14608" w:rsidP="00E14608">
      <w:pPr>
        <w:widowControl w:val="0"/>
        <w:autoSpaceDE w:val="0"/>
        <w:autoSpaceDN w:val="0"/>
        <w:adjustRightInd w:val="0"/>
        <w:spacing w:line="221" w:lineRule="exact"/>
        <w:ind w:left="710"/>
        <w:textAlignment w:val="baseline"/>
        <w:rPr>
          <w:rFonts w:ascii="Arial" w:eastAsia="Arial" w:hAnsi="Arial" w:cs="Arial"/>
          <w:b/>
          <w:sz w:val="19"/>
          <w:szCs w:val="19"/>
          <w:lang w:val="es" w:eastAsia="zh-CN"/>
        </w:rPr>
      </w:pPr>
    </w:p>
    <w:p w14:paraId="3544012C" w14:textId="77777777" w:rsidR="00E14608" w:rsidRPr="00E14608" w:rsidRDefault="00E14608" w:rsidP="00E14608">
      <w:pPr>
        <w:widowControl w:val="0"/>
        <w:autoSpaceDE w:val="0"/>
        <w:autoSpaceDN w:val="0"/>
        <w:adjustRightInd w:val="0"/>
        <w:spacing w:line="221" w:lineRule="exact"/>
        <w:ind w:left="710"/>
        <w:textAlignment w:val="baseline"/>
        <w:rPr>
          <w:lang w:val="es" w:eastAsia="zh-CN"/>
        </w:rPr>
      </w:pPr>
      <w:r w:rsidRPr="00E14608">
        <w:rPr>
          <w:rFonts w:ascii="Arial" w:eastAsia="Arial" w:hAnsi="Arial" w:cs="Arial"/>
          <w:b/>
          <w:sz w:val="19"/>
          <w:szCs w:val="19"/>
          <w:lang w:val="es" w:eastAsia="zh-CN"/>
        </w:rPr>
        <w:t xml:space="preserve">Análisis de la gestión de la RG e IMV. </w:t>
      </w:r>
    </w:p>
    <w:p w14:paraId="0CEDCE3A" w14:textId="77777777" w:rsidR="00E14608" w:rsidRPr="00E14608" w:rsidRDefault="00E14608" w:rsidP="00E14608">
      <w:pPr>
        <w:widowControl w:val="0"/>
        <w:autoSpaceDE w:val="0"/>
        <w:autoSpaceDN w:val="0"/>
        <w:adjustRightInd w:val="0"/>
        <w:spacing w:line="216" w:lineRule="exact"/>
        <w:ind w:left="720"/>
        <w:textAlignment w:val="baseline"/>
        <w:rPr>
          <w:rFonts w:ascii="Arial" w:eastAsia="Arial" w:hAnsi="Arial" w:cs="Arial"/>
          <w:sz w:val="20"/>
          <w:szCs w:val="20"/>
          <w:lang w:val="es" w:eastAsia="zh-CN"/>
        </w:rPr>
      </w:pPr>
    </w:p>
    <w:p w14:paraId="1A0D475D" w14:textId="77777777" w:rsidR="00E14608" w:rsidRPr="00E14608" w:rsidRDefault="00E14608" w:rsidP="00E14608">
      <w:pPr>
        <w:widowControl w:val="0"/>
        <w:autoSpaceDE w:val="0"/>
        <w:autoSpaceDN w:val="0"/>
        <w:adjustRightInd w:val="0"/>
        <w:spacing w:line="216" w:lineRule="exact"/>
        <w:ind w:left="720"/>
        <w:textAlignment w:val="baseline"/>
        <w:rPr>
          <w:rFonts w:ascii="Arial" w:eastAsia="Arial" w:hAnsi="Arial" w:cs="Arial"/>
          <w:sz w:val="20"/>
          <w:szCs w:val="20"/>
          <w:lang w:val="es" w:eastAsia="zh-CN"/>
        </w:rPr>
      </w:pPr>
      <w:r w:rsidRPr="00E14608">
        <w:rPr>
          <w:rFonts w:ascii="Arial" w:eastAsia="Arial" w:hAnsi="Arial" w:cs="Arial"/>
          <w:sz w:val="20"/>
          <w:szCs w:val="20"/>
          <w:lang w:val="es" w:eastAsia="zh-CN"/>
        </w:rPr>
        <w:t>Concluye el informe en este aspecto:</w:t>
      </w:r>
    </w:p>
    <w:p w14:paraId="0A77686C" w14:textId="77777777" w:rsidR="00E14608" w:rsidRPr="00E14608" w:rsidRDefault="00E14608" w:rsidP="00E14608">
      <w:pPr>
        <w:widowControl w:val="0"/>
        <w:autoSpaceDE w:val="0"/>
        <w:autoSpaceDN w:val="0"/>
        <w:adjustRightInd w:val="0"/>
        <w:spacing w:line="216" w:lineRule="exact"/>
        <w:ind w:left="720"/>
        <w:textAlignment w:val="baseline"/>
        <w:rPr>
          <w:lang w:val="es" w:eastAsia="zh-CN"/>
        </w:rPr>
      </w:pPr>
    </w:p>
    <w:p w14:paraId="21ED9C1A" w14:textId="77777777" w:rsidR="00E14608" w:rsidRPr="00E14608" w:rsidRDefault="00E14608" w:rsidP="00E14608">
      <w:pPr>
        <w:widowControl w:val="0"/>
        <w:autoSpaceDE w:val="0"/>
        <w:autoSpaceDN w:val="0"/>
        <w:adjustRightInd w:val="0"/>
        <w:spacing w:line="418" w:lineRule="exact"/>
        <w:ind w:firstLine="708"/>
        <w:jc w:val="both"/>
        <w:textAlignment w:val="baseline"/>
        <w:rPr>
          <w:lang w:val="es" w:eastAsia="zh-CN"/>
        </w:rPr>
      </w:pPr>
      <w:r w:rsidRPr="00E14608">
        <w:rPr>
          <w:b/>
          <w:i/>
          <w:iCs/>
          <w:sz w:val="21"/>
          <w:szCs w:val="21"/>
          <w:lang w:val="es" w:eastAsia="zh-CN"/>
        </w:rPr>
        <w:t xml:space="preserve">"En definitiva, </w:t>
      </w:r>
      <w:r w:rsidRPr="00E14608">
        <w:rPr>
          <w:i/>
          <w:iCs/>
          <w:sz w:val="22"/>
          <w:szCs w:val="22"/>
          <w:lang w:val="es" w:eastAsia="zh-CN"/>
        </w:rPr>
        <w:t xml:space="preserve">el contexto en el que el departamento gestiona los cambios normativos y procedimentales ocurridos dificulta significativamente la gestión de estas dos prestaciones. Esta gestión se ve condicionada por otros factores como la falta de conocimiento de manera automática de los importes de una y otra prestación en SIPSS o los plazos máximos de concesión de ambas prestaciones. Además, este contexto procedimental y normativo, exige que el departamento deba realizar regularizaciones de las cuantías de prestaciones ya concedidas lo que conlleva una carga significativa de trabajo para su personal". </w:t>
      </w:r>
    </w:p>
    <w:p w14:paraId="338A5302" w14:textId="77777777" w:rsidR="00E14608" w:rsidRPr="00E14608" w:rsidRDefault="00E14608" w:rsidP="00E14608">
      <w:pPr>
        <w:widowControl w:val="0"/>
        <w:autoSpaceDE w:val="0"/>
        <w:autoSpaceDN w:val="0"/>
        <w:adjustRightInd w:val="0"/>
        <w:spacing w:line="418" w:lineRule="exact"/>
        <w:ind w:left="5" w:firstLine="715"/>
        <w:jc w:val="both"/>
        <w:textAlignment w:val="baseline"/>
        <w:rPr>
          <w:lang w:val="es" w:eastAsia="zh-CN"/>
        </w:rPr>
      </w:pPr>
      <w:r w:rsidRPr="00E14608">
        <w:rPr>
          <w:rFonts w:ascii="Arial" w:eastAsia="Arial" w:hAnsi="Arial" w:cs="Arial"/>
          <w:sz w:val="19"/>
          <w:szCs w:val="19"/>
          <w:lang w:val="es" w:eastAsia="zh-CN"/>
        </w:rPr>
        <w:t xml:space="preserve">Respecto a los aspectos valorados en este apartado, y en relación con la afirmación de que el SIPSS solo dispone del dato más reciente, relativo a la convivencia y a la composición del unidad familiar, lo que dificulta la valoración de la cuantía máxima percibida entre ambas , debe señalarse que, todos y cada uno de los expedientes incluyen datos y documentación correspondiente a las distintas modificaciones y situaciones que han podido producirse en el mismo; la forma en la que está recogida la información, impide su automatización y su explotación, pero aquélla existe y se tiene en cuenta en la regularización de ambas prestaciones. </w:t>
      </w:r>
    </w:p>
    <w:p w14:paraId="5C9F4B17" w14:textId="77777777" w:rsidR="00E14608" w:rsidRPr="00E14608" w:rsidRDefault="00E14608" w:rsidP="00E14608">
      <w:pPr>
        <w:widowControl w:val="0"/>
        <w:autoSpaceDE w:val="0"/>
        <w:autoSpaceDN w:val="0"/>
        <w:adjustRightInd w:val="0"/>
        <w:spacing w:line="418" w:lineRule="exact"/>
        <w:ind w:left="5" w:firstLine="715"/>
        <w:jc w:val="both"/>
        <w:textAlignment w:val="baseline"/>
        <w:rPr>
          <w:lang w:val="es" w:eastAsia="zh-CN"/>
        </w:rPr>
      </w:pPr>
      <w:r w:rsidRPr="00E14608">
        <w:rPr>
          <w:rFonts w:ascii="Arial" w:eastAsia="Arial" w:hAnsi="Arial" w:cs="Arial"/>
          <w:sz w:val="19"/>
          <w:szCs w:val="19"/>
          <w:lang w:val="es" w:eastAsia="zh-CN"/>
        </w:rPr>
        <w:t xml:space="preserve">Igualmente, se indica que, el departamento ha llevado a cabo la regularización de ambas prestaciones realizando una transferencia entre partidas presupuestarias considerando un mes menos </w:t>
      </w:r>
      <w:r w:rsidRPr="00E14608">
        <w:rPr>
          <w:rFonts w:ascii="Arial" w:eastAsia="Arial" w:hAnsi="Arial" w:cs="Arial"/>
          <w:sz w:val="19"/>
          <w:szCs w:val="19"/>
          <w:lang w:val="es" w:eastAsia="zh-CN"/>
        </w:rPr>
        <w:lastRenderedPageBreak/>
        <w:t xml:space="preserve">de concurrencia entre prestaciones atendiendo a lo establecido en la normativa. </w:t>
      </w:r>
    </w:p>
    <w:p w14:paraId="6610A99D" w14:textId="77777777" w:rsidR="00E14608" w:rsidRPr="00E14608" w:rsidRDefault="00E14608" w:rsidP="00E14608">
      <w:pPr>
        <w:widowControl w:val="0"/>
        <w:autoSpaceDE w:val="0"/>
        <w:autoSpaceDN w:val="0"/>
        <w:adjustRightInd w:val="0"/>
        <w:spacing w:line="427" w:lineRule="exact"/>
        <w:ind w:left="10" w:firstLine="715"/>
        <w:textAlignment w:val="baseline"/>
        <w:rPr>
          <w:lang w:val="es" w:eastAsia="zh-CN"/>
        </w:rPr>
      </w:pPr>
      <w:r w:rsidRPr="00E14608">
        <w:rPr>
          <w:rFonts w:ascii="Arial" w:eastAsia="Arial" w:hAnsi="Arial" w:cs="Arial"/>
          <w:sz w:val="19"/>
          <w:szCs w:val="19"/>
          <w:lang w:val="es" w:eastAsia="zh-CN"/>
        </w:rPr>
        <w:t xml:space="preserve">No se comparte la conclusión de que se excluye un mes en la concurrencia entre las dos prestaciones. </w:t>
      </w:r>
    </w:p>
    <w:p w14:paraId="0E7C35E7" w14:textId="09583418" w:rsidR="00E14608" w:rsidRPr="00E14608" w:rsidRDefault="00E14608" w:rsidP="00E14608">
      <w:pPr>
        <w:widowControl w:val="0"/>
        <w:autoSpaceDE w:val="0"/>
        <w:autoSpaceDN w:val="0"/>
        <w:adjustRightInd w:val="0"/>
        <w:spacing w:line="418" w:lineRule="exact"/>
        <w:ind w:left="5" w:firstLine="715"/>
        <w:jc w:val="both"/>
        <w:textAlignment w:val="baseline"/>
        <w:rPr>
          <w:lang w:val="es" w:eastAsia="zh-CN"/>
        </w:rPr>
      </w:pPr>
      <w:r w:rsidRPr="00E14608">
        <w:rPr>
          <w:rFonts w:ascii="Arial" w:eastAsia="Arial" w:hAnsi="Arial" w:cs="Arial"/>
          <w:sz w:val="19"/>
          <w:szCs w:val="19"/>
          <w:lang w:val="es" w:eastAsia="zh-CN"/>
        </w:rPr>
        <w:t xml:space="preserve">La regularización de ambas prestaciones, en el supuesto de concesión o modificación del </w:t>
      </w:r>
      <w:r w:rsidRPr="00E14608">
        <w:rPr>
          <w:rFonts w:ascii="Arial" w:eastAsia="Arial" w:hAnsi="Arial" w:cs="Arial"/>
          <w:b/>
          <w:sz w:val="20"/>
          <w:szCs w:val="20"/>
          <w:lang w:val="es" w:eastAsia="zh-CN"/>
        </w:rPr>
        <w:t xml:space="preserve">IMV, </w:t>
      </w:r>
      <w:r w:rsidRPr="00E14608">
        <w:rPr>
          <w:rFonts w:ascii="Arial" w:eastAsia="Arial" w:hAnsi="Arial" w:cs="Arial"/>
          <w:sz w:val="19"/>
          <w:szCs w:val="19"/>
          <w:lang w:val="es" w:eastAsia="zh-CN"/>
        </w:rPr>
        <w:t xml:space="preserve">en el supuesto de concurrencia con la Renta Garantizada, se realiza en los términos previstos en la normativa reguladora de ambas prestaciones. </w:t>
      </w:r>
      <w:r w:rsidRPr="00E14608">
        <w:rPr>
          <w:rFonts w:ascii="Arial" w:eastAsia="Arial" w:hAnsi="Arial" w:cs="Arial"/>
          <w:sz w:val="20"/>
          <w:szCs w:val="20"/>
          <w:lang w:val="es" w:eastAsia="zh-CN"/>
        </w:rPr>
        <w:t xml:space="preserve">El artículo 23 de la Ley Foral 15/2016, de 11 de noviembre, establece que el órgano competente para la tramitación y resolución de la Renta Garantizada emitirá, en su caso, resolución modificando las condiciones del disfrute de dicha renta en el mes siguiente a su comunicación. La fecha de efectos de la modificación será el primero del mes siguiente a aquel en que se haya producido la circunstancia que ha motivado la resolución. </w:t>
      </w:r>
    </w:p>
    <w:p w14:paraId="210FA650" w14:textId="180FBEB1" w:rsidR="00E14608" w:rsidRDefault="00E14608" w:rsidP="00E14608">
      <w:pPr>
        <w:widowControl w:val="0"/>
        <w:autoSpaceDE w:val="0"/>
        <w:autoSpaceDN w:val="0"/>
        <w:adjustRightInd w:val="0"/>
        <w:spacing w:line="418" w:lineRule="exact"/>
        <w:ind w:firstLine="710"/>
        <w:jc w:val="both"/>
        <w:textAlignment w:val="baseline"/>
        <w:rPr>
          <w:rFonts w:ascii="Arial" w:eastAsia="Arial" w:hAnsi="Arial" w:cs="Arial"/>
          <w:sz w:val="20"/>
          <w:szCs w:val="20"/>
          <w:lang w:val="es" w:eastAsia="zh-CN"/>
        </w:rPr>
      </w:pPr>
      <w:r w:rsidRPr="00E14608">
        <w:rPr>
          <w:rFonts w:ascii="Arial" w:eastAsia="Arial" w:hAnsi="Arial" w:cs="Arial"/>
          <w:sz w:val="20"/>
          <w:szCs w:val="20"/>
          <w:lang w:val="es" w:eastAsia="zh-CN"/>
        </w:rPr>
        <w:t>La concesión o modificación del IMV tendrá efectos en la percepción de la RG, al mes siguiente a la concesión o modificación del IMV ,conforme a la normativa de la RG, lo que no significa que se excluya un mes de concurrencia; la concurrencia se da en los términos que la normativa establece para las modificaciones de la RG.</w:t>
      </w:r>
    </w:p>
    <w:p w14:paraId="12F52AC6" w14:textId="77777777" w:rsidR="00E14608" w:rsidRPr="00E14608" w:rsidRDefault="00E14608" w:rsidP="00E14608">
      <w:pPr>
        <w:widowControl w:val="0"/>
        <w:autoSpaceDE w:val="0"/>
        <w:autoSpaceDN w:val="0"/>
        <w:adjustRightInd w:val="0"/>
        <w:spacing w:line="200" w:lineRule="exact"/>
        <w:ind w:firstLine="709"/>
        <w:jc w:val="both"/>
        <w:textAlignment w:val="baseline"/>
        <w:rPr>
          <w:rFonts w:ascii="Arial" w:eastAsia="Arial" w:hAnsi="Arial" w:cs="Arial"/>
          <w:sz w:val="20"/>
          <w:szCs w:val="20"/>
          <w:lang w:val="es" w:eastAsia="zh-CN"/>
        </w:rPr>
      </w:pPr>
    </w:p>
    <w:p w14:paraId="706BFED6" w14:textId="77777777" w:rsidR="00E14608" w:rsidRPr="00E14608" w:rsidRDefault="00E14608" w:rsidP="00E14608">
      <w:pPr>
        <w:widowControl w:val="0"/>
        <w:autoSpaceDE w:val="0"/>
        <w:autoSpaceDN w:val="0"/>
        <w:adjustRightInd w:val="0"/>
        <w:spacing w:line="226" w:lineRule="exact"/>
        <w:ind w:left="720"/>
        <w:textAlignment w:val="baseline"/>
        <w:rPr>
          <w:lang w:val="es" w:eastAsia="zh-CN"/>
        </w:rPr>
      </w:pPr>
      <w:r w:rsidRPr="00E14608">
        <w:rPr>
          <w:rFonts w:ascii="Arial" w:eastAsia="Arial" w:hAnsi="Arial" w:cs="Arial"/>
          <w:b/>
          <w:sz w:val="19"/>
          <w:szCs w:val="19"/>
          <w:lang w:val="es" w:eastAsia="zh-CN"/>
        </w:rPr>
        <w:t xml:space="preserve">Recomendaciones. </w:t>
      </w:r>
    </w:p>
    <w:p w14:paraId="7A1C4549" w14:textId="77777777" w:rsidR="00E14608" w:rsidRPr="00E14608" w:rsidRDefault="00E14608" w:rsidP="00E14608">
      <w:pPr>
        <w:widowControl w:val="0"/>
        <w:autoSpaceDE w:val="0"/>
        <w:autoSpaceDN w:val="0"/>
        <w:adjustRightInd w:val="0"/>
        <w:spacing w:line="422" w:lineRule="exact"/>
        <w:ind w:firstLine="715"/>
        <w:textAlignment w:val="baseline"/>
        <w:rPr>
          <w:lang w:val="es" w:eastAsia="zh-CN"/>
        </w:rPr>
      </w:pPr>
      <w:r w:rsidRPr="00E14608">
        <w:rPr>
          <w:rFonts w:ascii="Arial" w:eastAsia="Arial" w:hAnsi="Arial" w:cs="Arial"/>
          <w:sz w:val="20"/>
          <w:szCs w:val="20"/>
          <w:lang w:val="es" w:eastAsia="zh-CN"/>
        </w:rPr>
        <w:t xml:space="preserve">En relación con el seguimiento de las recomendaciones formuladas en el informe de 2019, sobre la gestión de la RG en el periodo 2016-2018, se indica que: </w:t>
      </w:r>
    </w:p>
    <w:p w14:paraId="299AF0F1" w14:textId="77777777" w:rsidR="00E14608" w:rsidRPr="00E14608" w:rsidRDefault="00E14608" w:rsidP="00E14608">
      <w:pPr>
        <w:widowControl w:val="0"/>
        <w:autoSpaceDE w:val="0"/>
        <w:autoSpaceDN w:val="0"/>
        <w:adjustRightInd w:val="0"/>
        <w:spacing w:line="418" w:lineRule="exact"/>
        <w:ind w:firstLine="710"/>
        <w:jc w:val="both"/>
        <w:textAlignment w:val="baseline"/>
        <w:rPr>
          <w:lang w:val="es" w:eastAsia="zh-CN"/>
        </w:rPr>
      </w:pPr>
      <w:r w:rsidRPr="00E14608">
        <w:rPr>
          <w:rFonts w:ascii="Arial" w:eastAsia="Arial" w:hAnsi="Arial" w:cs="Arial"/>
          <w:b/>
          <w:sz w:val="19"/>
          <w:szCs w:val="19"/>
          <w:lang w:val="es" w:eastAsia="zh-CN"/>
        </w:rPr>
        <w:t xml:space="preserve">"En definitiva, </w:t>
      </w:r>
      <w:r w:rsidRPr="00E14608">
        <w:rPr>
          <w:rFonts w:ascii="Arial" w:eastAsia="Arial" w:hAnsi="Arial" w:cs="Arial"/>
          <w:sz w:val="20"/>
          <w:szCs w:val="20"/>
          <w:lang w:val="es" w:eastAsia="zh-CN"/>
        </w:rPr>
        <w:t xml:space="preserve">se han cumplido total o sustancialmente seis recomendaciones, parcialmente dos de ellas, estando pendiente de ser aplicadas tres de ellas y careciendo de validez la referida a la mejora del SIPSS por estar desarrollándose a la fecha de redacción de este informe un nuevo programa informático". </w:t>
      </w:r>
    </w:p>
    <w:p w14:paraId="381A04EC" w14:textId="77777777" w:rsidR="00E14608" w:rsidRPr="00E14608" w:rsidRDefault="00E14608" w:rsidP="00E14608">
      <w:pPr>
        <w:widowControl w:val="0"/>
        <w:autoSpaceDE w:val="0"/>
        <w:autoSpaceDN w:val="0"/>
        <w:adjustRightInd w:val="0"/>
        <w:spacing w:line="418" w:lineRule="exact"/>
        <w:ind w:firstLine="710"/>
        <w:jc w:val="both"/>
        <w:textAlignment w:val="baseline"/>
        <w:rPr>
          <w:lang w:val="es" w:eastAsia="zh-CN"/>
        </w:rPr>
      </w:pPr>
      <w:r w:rsidRPr="00E14608">
        <w:rPr>
          <w:rFonts w:ascii="Arial" w:eastAsia="Arial" w:hAnsi="Arial" w:cs="Arial"/>
          <w:sz w:val="20"/>
          <w:szCs w:val="20"/>
          <w:lang w:val="es" w:eastAsia="zh-CN"/>
        </w:rPr>
        <w:t xml:space="preserve">Considera el informe, como no aplicada, la recomendación relativa a la aprobación de futuros planes estratégicos de inclusión social, en los plazos establecidos en la normativa aplicable. </w:t>
      </w:r>
    </w:p>
    <w:p w14:paraId="628808AF" w14:textId="4B86AAAE" w:rsidR="00E14608" w:rsidRPr="00E14608" w:rsidRDefault="00E14608" w:rsidP="00E14608">
      <w:pPr>
        <w:widowControl w:val="0"/>
        <w:autoSpaceDE w:val="0"/>
        <w:autoSpaceDN w:val="0"/>
        <w:adjustRightInd w:val="0"/>
        <w:spacing w:line="418" w:lineRule="exact"/>
        <w:ind w:firstLine="710"/>
        <w:jc w:val="both"/>
        <w:textAlignment w:val="baseline"/>
        <w:rPr>
          <w:lang w:val="es" w:eastAsia="zh-CN"/>
        </w:rPr>
      </w:pPr>
      <w:r w:rsidRPr="00E14608">
        <w:rPr>
          <w:rFonts w:ascii="Arial" w:eastAsia="Arial" w:hAnsi="Arial" w:cs="Arial"/>
          <w:sz w:val="20"/>
          <w:szCs w:val="20"/>
          <w:lang w:val="es" w:eastAsia="zh-CN"/>
        </w:rPr>
        <w:t>El último Plan Estratégico de Inclusión Social aprobado, abarcaba el periodo 2018-2021 Y La situación derivada de la pandemia retrasó su ejecución a 2022 y, por consiguiente, también el calendario de planificación del Departamento, posponiendo entre otras, la redacción del nuevo Plan Estratégico de Inclusión Social. Sin perjuicio d</w:t>
      </w:r>
      <w:r>
        <w:rPr>
          <w:rFonts w:ascii="Arial" w:eastAsia="Arial" w:hAnsi="Arial" w:cs="Arial"/>
          <w:sz w:val="20"/>
          <w:szCs w:val="20"/>
          <w:lang w:val="es" w:eastAsia="zh-CN"/>
        </w:rPr>
        <w:t xml:space="preserve">el </w:t>
      </w:r>
      <w:r w:rsidRPr="00E14608">
        <w:rPr>
          <w:rFonts w:ascii="Arial" w:eastAsia="Arial" w:hAnsi="Arial" w:cs="Arial"/>
          <w:sz w:val="20"/>
          <w:szCs w:val="20"/>
          <w:lang w:val="es" w:eastAsia="zh-CN"/>
        </w:rPr>
        <w:t xml:space="preserve">periodo de vigencia previsto en el Plan, lo cierto es que, y con la conformidad del Consejo Navarro de Bienestar Social, sus ejes estratégicos se han mantenido vigentes hasta el día de hoy. </w:t>
      </w:r>
    </w:p>
    <w:p w14:paraId="17C20349" w14:textId="77777777" w:rsidR="00E14608" w:rsidRPr="00E14608" w:rsidRDefault="00E14608" w:rsidP="00E14608">
      <w:pPr>
        <w:widowControl w:val="0"/>
        <w:autoSpaceDE w:val="0"/>
        <w:autoSpaceDN w:val="0"/>
        <w:adjustRightInd w:val="0"/>
        <w:spacing w:line="418" w:lineRule="exact"/>
        <w:ind w:firstLine="715"/>
        <w:jc w:val="both"/>
        <w:textAlignment w:val="baseline"/>
        <w:rPr>
          <w:lang w:val="es" w:eastAsia="zh-CN"/>
        </w:rPr>
      </w:pPr>
      <w:r w:rsidRPr="00E14608">
        <w:rPr>
          <w:rFonts w:ascii="Arial" w:eastAsia="Arial" w:hAnsi="Arial" w:cs="Arial"/>
          <w:sz w:val="20"/>
          <w:szCs w:val="20"/>
          <w:lang w:val="es" w:eastAsia="zh-CN"/>
        </w:rPr>
        <w:t xml:space="preserve">En la actualidad, el Departamento de Derechos Sociales, Economía Social y Empleo, se encuentra en la fase de redacción del nuevo Plan Estratégico de Inclusión Social 2025-2028. </w:t>
      </w:r>
    </w:p>
    <w:p w14:paraId="0904B59B" w14:textId="77777777" w:rsidR="00E14608" w:rsidRPr="00E14608" w:rsidRDefault="00E14608" w:rsidP="00E14608">
      <w:pPr>
        <w:widowControl w:val="0"/>
        <w:autoSpaceDE w:val="0"/>
        <w:autoSpaceDN w:val="0"/>
        <w:adjustRightInd w:val="0"/>
        <w:spacing w:line="418" w:lineRule="exact"/>
        <w:ind w:firstLine="706"/>
        <w:textAlignment w:val="baseline"/>
        <w:rPr>
          <w:lang w:val="es" w:eastAsia="zh-CN"/>
        </w:rPr>
      </w:pPr>
      <w:r w:rsidRPr="00E14608">
        <w:rPr>
          <w:rFonts w:ascii="Arial" w:eastAsia="Arial" w:hAnsi="Arial" w:cs="Arial"/>
          <w:sz w:val="20"/>
          <w:szCs w:val="20"/>
          <w:lang w:val="es" w:eastAsia="zh-CN"/>
        </w:rPr>
        <w:lastRenderedPageBreak/>
        <w:t xml:space="preserve">Respecto a las nuevas recomendaciones formuladas, se considera que la redacción de alguna de ellas pueden formularse en términos más claros: </w:t>
      </w:r>
    </w:p>
    <w:p w14:paraId="14B7A39F" w14:textId="77777777" w:rsidR="00E14608" w:rsidRPr="00E14608" w:rsidRDefault="00E14608" w:rsidP="00E14608">
      <w:pPr>
        <w:widowControl w:val="0"/>
        <w:autoSpaceDE w:val="0"/>
        <w:autoSpaceDN w:val="0"/>
        <w:adjustRightInd w:val="0"/>
        <w:spacing w:line="418" w:lineRule="exact"/>
        <w:ind w:firstLine="715"/>
        <w:jc w:val="both"/>
        <w:textAlignment w:val="baseline"/>
        <w:rPr>
          <w:lang w:val="es" w:eastAsia="zh-CN"/>
        </w:rPr>
      </w:pPr>
      <w:r w:rsidRPr="00E14608">
        <w:rPr>
          <w:rFonts w:ascii="Arial" w:eastAsia="Arial" w:hAnsi="Arial" w:cs="Arial"/>
          <w:sz w:val="20"/>
          <w:szCs w:val="20"/>
          <w:lang w:val="es" w:eastAsia="zh-CN"/>
        </w:rPr>
        <w:t xml:space="preserve">- Incrementar los recursos humanos destinados a la gestión, a la inspección, incluidos efectivos de policía foral, y al servicio de impulso y transformación digital para el desarrollo informático del aplicativo. </w:t>
      </w:r>
    </w:p>
    <w:p w14:paraId="640CD9F6" w14:textId="77777777" w:rsidR="00E14608" w:rsidRPr="00E14608" w:rsidRDefault="00E14608" w:rsidP="00E14608">
      <w:pPr>
        <w:widowControl w:val="0"/>
        <w:autoSpaceDE w:val="0"/>
        <w:autoSpaceDN w:val="0"/>
        <w:adjustRightInd w:val="0"/>
        <w:spacing w:line="418" w:lineRule="exact"/>
        <w:ind w:firstLine="706"/>
        <w:textAlignment w:val="baseline"/>
        <w:rPr>
          <w:lang w:val="es" w:eastAsia="zh-CN"/>
        </w:rPr>
      </w:pPr>
      <w:r w:rsidRPr="00E14608">
        <w:rPr>
          <w:rFonts w:ascii="Arial" w:eastAsia="Arial" w:hAnsi="Arial" w:cs="Arial"/>
          <w:sz w:val="20"/>
          <w:szCs w:val="20"/>
          <w:lang w:val="es" w:eastAsia="zh-CN"/>
        </w:rPr>
        <w:t xml:space="preserve">- Implantación de la interoperabilidad para la comprobación automatizada del empadronamiento y convivencia. </w:t>
      </w:r>
    </w:p>
    <w:p w14:paraId="5C128BFB" w14:textId="77777777" w:rsidR="00E14608" w:rsidRPr="00E14608" w:rsidRDefault="00E14608" w:rsidP="00E14608">
      <w:pPr>
        <w:widowControl w:val="0"/>
        <w:autoSpaceDE w:val="0"/>
        <w:autoSpaceDN w:val="0"/>
        <w:adjustRightInd w:val="0"/>
        <w:spacing w:line="418" w:lineRule="exact"/>
        <w:ind w:firstLine="715"/>
        <w:jc w:val="both"/>
        <w:textAlignment w:val="baseline"/>
        <w:rPr>
          <w:lang w:val="es" w:eastAsia="zh-CN"/>
        </w:rPr>
      </w:pPr>
      <w:r w:rsidRPr="00E14608">
        <w:rPr>
          <w:rFonts w:ascii="Arial" w:eastAsia="Arial" w:hAnsi="Arial" w:cs="Arial"/>
          <w:sz w:val="20"/>
          <w:szCs w:val="20"/>
          <w:lang w:val="es" w:eastAsia="zh-CN"/>
        </w:rPr>
        <w:t xml:space="preserve">Respecto a la recomendación de "introducir en la base de datos del Servicio de Activación Laboral y Coordinación Territorial información referida a si la persona citada no ha acudido a las actividades de orientación, formación y empleo que se le hayan propuesto." </w:t>
      </w:r>
    </w:p>
    <w:p w14:paraId="4E90FF50" w14:textId="77777777" w:rsidR="00E14608" w:rsidRPr="00E14608" w:rsidRDefault="00E14608" w:rsidP="00E14608">
      <w:pPr>
        <w:widowControl w:val="0"/>
        <w:autoSpaceDE w:val="0"/>
        <w:autoSpaceDN w:val="0"/>
        <w:adjustRightInd w:val="0"/>
        <w:spacing w:line="418" w:lineRule="exact"/>
        <w:ind w:firstLine="715"/>
        <w:jc w:val="both"/>
        <w:textAlignment w:val="baseline"/>
        <w:rPr>
          <w:lang w:val="es" w:eastAsia="zh-CN"/>
        </w:rPr>
      </w:pPr>
      <w:r w:rsidRPr="00E14608">
        <w:rPr>
          <w:rFonts w:ascii="Arial" w:eastAsia="Arial" w:hAnsi="Arial" w:cs="Arial"/>
          <w:sz w:val="20"/>
          <w:szCs w:val="20"/>
          <w:lang w:val="es" w:eastAsia="zh-CN"/>
        </w:rPr>
        <w:t xml:space="preserve">En el mismo sentido en la página 32 se indica que la base de datos del SNE-NL sólo contiene información sobre las actividades propuesta a las personas beneficiarias de renta garantizada que han acudido. </w:t>
      </w:r>
    </w:p>
    <w:p w14:paraId="21DD7007" w14:textId="084EC0D0" w:rsidR="00E14608" w:rsidRPr="00E14608" w:rsidRDefault="00E14608" w:rsidP="00E14608">
      <w:pPr>
        <w:widowControl w:val="0"/>
        <w:autoSpaceDE w:val="0"/>
        <w:autoSpaceDN w:val="0"/>
        <w:adjustRightInd w:val="0"/>
        <w:spacing w:line="418" w:lineRule="exact"/>
        <w:ind w:firstLine="715"/>
        <w:jc w:val="both"/>
        <w:textAlignment w:val="baseline"/>
        <w:rPr>
          <w:lang w:val="es" w:eastAsia="zh-CN"/>
        </w:rPr>
      </w:pPr>
      <w:r w:rsidRPr="00E14608">
        <w:rPr>
          <w:rFonts w:ascii="Arial" w:eastAsia="Arial" w:hAnsi="Arial" w:cs="Arial"/>
          <w:sz w:val="20"/>
          <w:szCs w:val="20"/>
          <w:lang w:val="es" w:eastAsia="zh-CN"/>
        </w:rPr>
        <w:t xml:space="preserve">Esta apreciación no es del todo correcta. En la actualidad la base de datos del SNE-NL en la que se incluye la información de los servicios de orientación (orientasare)contiene la información relativa a las personas que no acuden a estos servicios, y de hecho se inicia el procedimiento sancionador con estas personas. </w:t>
      </w:r>
    </w:p>
    <w:p w14:paraId="471F92DC" w14:textId="77777777" w:rsidR="00E14608" w:rsidRPr="00E14608" w:rsidRDefault="00E14608" w:rsidP="00E14608">
      <w:pPr>
        <w:widowControl w:val="0"/>
        <w:autoSpaceDE w:val="0"/>
        <w:autoSpaceDN w:val="0"/>
        <w:adjustRightInd w:val="0"/>
        <w:spacing w:line="418" w:lineRule="exact"/>
        <w:ind w:left="5" w:firstLine="720"/>
        <w:jc w:val="both"/>
        <w:textAlignment w:val="baseline"/>
        <w:rPr>
          <w:lang w:val="es" w:eastAsia="zh-CN"/>
        </w:rPr>
      </w:pPr>
      <w:r w:rsidRPr="00E14608">
        <w:rPr>
          <w:rFonts w:ascii="Arial" w:eastAsia="Arial" w:hAnsi="Arial" w:cs="Arial"/>
          <w:sz w:val="20"/>
          <w:szCs w:val="20"/>
          <w:lang w:val="es" w:eastAsia="zh-CN"/>
        </w:rPr>
        <w:t xml:space="preserve">Igualmente, también se dispone del dato en Iris (base de datos de acciones de formación) de las personas perceptoras de renta garantizada que abandonan acciones formativas o que no llegan a iniciarlas en el caso de programas mixtos de empleo y formación, constando así en el protocolo de seguimiento y control. </w:t>
      </w:r>
    </w:p>
    <w:p w14:paraId="2151E55B" w14:textId="77777777" w:rsidR="00E14608" w:rsidRPr="00E14608" w:rsidRDefault="00E14608" w:rsidP="00E14608">
      <w:pPr>
        <w:widowControl w:val="0"/>
        <w:autoSpaceDE w:val="0"/>
        <w:autoSpaceDN w:val="0"/>
        <w:adjustRightInd w:val="0"/>
        <w:spacing w:line="418" w:lineRule="exact"/>
        <w:ind w:firstLine="720"/>
        <w:jc w:val="both"/>
        <w:textAlignment w:val="baseline"/>
        <w:rPr>
          <w:lang w:val="es" w:eastAsia="zh-CN"/>
        </w:rPr>
      </w:pPr>
      <w:r w:rsidRPr="00E14608">
        <w:rPr>
          <w:rFonts w:ascii="Arial" w:eastAsia="Arial" w:hAnsi="Arial" w:cs="Arial"/>
          <w:sz w:val="20"/>
          <w:szCs w:val="20"/>
          <w:lang w:val="es" w:eastAsia="zh-CN"/>
        </w:rPr>
        <w:t xml:space="preserve">En cuanto a las ofertas de empleo, tal y como prevé el artículo 3 de la Ley 3/2023, de 28 de febrero de Empleo, sólo se puede considerar oferta de empleo adecuada aquellas que se correspondan con contrataciones indefinidos, y que encajen con la formación, características, experiencia profesional y aptitudes físicas de la persona a contratar. Por lo tanto, tal y como señala acertadamente el informe de la Cámara de Comptos en la página 32, "los requisitos exigidos para una oferta de empleo adecuada podrían estar limitado la posibilidad de ofrecer contratos a estas personas". </w:t>
      </w:r>
    </w:p>
    <w:p w14:paraId="5DD888F5" w14:textId="77777777" w:rsidR="00E14608" w:rsidRPr="00E14608" w:rsidRDefault="00E14608" w:rsidP="00E14608">
      <w:pPr>
        <w:widowControl w:val="0"/>
        <w:autoSpaceDE w:val="0"/>
        <w:autoSpaceDN w:val="0"/>
        <w:adjustRightInd w:val="0"/>
        <w:spacing w:line="418" w:lineRule="exact"/>
        <w:ind w:left="5" w:firstLine="773"/>
        <w:textAlignment w:val="baseline"/>
        <w:rPr>
          <w:rFonts w:ascii="Arial" w:eastAsia="Arial" w:hAnsi="Arial" w:cs="Arial"/>
          <w:sz w:val="20"/>
          <w:szCs w:val="20"/>
          <w:lang w:val="es" w:eastAsia="zh-CN"/>
        </w:rPr>
      </w:pPr>
      <w:r w:rsidRPr="00E14608">
        <w:rPr>
          <w:rFonts w:ascii="Arial" w:eastAsia="Arial" w:hAnsi="Arial" w:cs="Arial"/>
          <w:sz w:val="20"/>
          <w:szCs w:val="20"/>
          <w:lang w:val="es" w:eastAsia="zh-CN"/>
        </w:rPr>
        <w:t>Las ofertas que pueden ser calificadas como adecuadas para estas personas son tan residuales que difícilmente se va a poder recabar información.</w:t>
      </w:r>
    </w:p>
    <w:p w14:paraId="570B01FC" w14:textId="77777777" w:rsidR="00E14608" w:rsidRPr="00E14608" w:rsidRDefault="00E14608" w:rsidP="00E14608">
      <w:pPr>
        <w:widowControl w:val="0"/>
        <w:autoSpaceDE w:val="0"/>
        <w:autoSpaceDN w:val="0"/>
        <w:adjustRightInd w:val="0"/>
        <w:spacing w:line="418" w:lineRule="exact"/>
        <w:ind w:left="5" w:firstLine="773"/>
        <w:textAlignment w:val="baseline"/>
        <w:rPr>
          <w:rFonts w:ascii="Arial" w:eastAsia="Arial" w:hAnsi="Arial" w:cs="Arial"/>
          <w:sz w:val="20"/>
          <w:szCs w:val="20"/>
          <w:lang w:val="es" w:eastAsia="zh-CN"/>
        </w:rPr>
      </w:pPr>
      <w:r w:rsidRPr="00E14608">
        <w:rPr>
          <w:rFonts w:ascii="Arial" w:eastAsia="Arial" w:hAnsi="Arial" w:cs="Arial"/>
          <w:sz w:val="20"/>
          <w:szCs w:val="20"/>
          <w:lang w:val="es" w:eastAsia="zh-CN"/>
        </w:rPr>
        <w:t>Mirian Martón Pérez</w:t>
      </w:r>
    </w:p>
    <w:p w14:paraId="5C57F85D" w14:textId="77777777" w:rsidR="00E14608" w:rsidRPr="00E14608" w:rsidRDefault="00E14608" w:rsidP="00E14608">
      <w:pPr>
        <w:widowControl w:val="0"/>
        <w:autoSpaceDE w:val="0"/>
        <w:autoSpaceDN w:val="0"/>
        <w:adjustRightInd w:val="0"/>
        <w:spacing w:line="418" w:lineRule="exact"/>
        <w:ind w:left="5" w:firstLine="773"/>
        <w:textAlignment w:val="baseline"/>
        <w:rPr>
          <w:rFonts w:ascii="Arial" w:eastAsia="Arial" w:hAnsi="Arial" w:cs="Arial"/>
          <w:sz w:val="20"/>
          <w:szCs w:val="20"/>
          <w:lang w:val="es" w:eastAsia="zh-CN"/>
        </w:rPr>
      </w:pPr>
      <w:r w:rsidRPr="00E14608">
        <w:rPr>
          <w:rFonts w:ascii="Arial" w:eastAsia="Arial" w:hAnsi="Arial" w:cs="Arial"/>
          <w:sz w:val="20"/>
          <w:szCs w:val="20"/>
          <w:lang w:val="es" w:eastAsia="zh-CN"/>
        </w:rPr>
        <w:t>Inés Jiménez Muro</w:t>
      </w:r>
    </w:p>
    <w:p w14:paraId="456FE18B" w14:textId="77777777" w:rsidR="00F12DC1" w:rsidRPr="00F06109" w:rsidRDefault="00F12DC1" w:rsidP="003D5D77">
      <w:pPr>
        <w:pStyle w:val="atitulo1"/>
        <w:jc w:val="both"/>
        <w:rPr>
          <w:color w:val="auto"/>
          <w:sz w:val="28"/>
        </w:rPr>
      </w:pPr>
      <w:bookmarkStart w:id="25" w:name="_Toc4671439"/>
      <w:bookmarkStart w:id="26" w:name="_Toc60127699"/>
      <w:bookmarkStart w:id="27" w:name="_Toc60127855"/>
      <w:bookmarkStart w:id="28" w:name="_Toc67302673"/>
      <w:bookmarkStart w:id="29" w:name="_Toc67986925"/>
      <w:bookmarkStart w:id="30" w:name="_Toc95376237"/>
      <w:bookmarkStart w:id="31" w:name="_Toc113352962"/>
      <w:bookmarkStart w:id="32" w:name="_Toc121475377"/>
      <w:bookmarkStart w:id="33" w:name="_Toc122079006"/>
      <w:bookmarkStart w:id="34" w:name="_Toc130536968"/>
      <w:bookmarkStart w:id="35" w:name="_Toc146545308"/>
      <w:bookmarkStart w:id="36" w:name="_Toc170292962"/>
      <w:bookmarkStart w:id="37" w:name="_Toc187217810"/>
      <w:bookmarkStart w:id="38" w:name="_Toc187821053"/>
      <w:r w:rsidRPr="00F06109">
        <w:rPr>
          <w:color w:val="auto"/>
          <w:sz w:val="28"/>
        </w:rPr>
        <w:lastRenderedPageBreak/>
        <w:t>Contestación de la Cámara de Comptos a las alegaciones presentadas al informe provisional</w:t>
      </w:r>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346D21A" w14:textId="17FC199D" w:rsidR="00F12DC1" w:rsidRDefault="00F12DC1" w:rsidP="00E12743">
      <w:pPr>
        <w:pStyle w:val="texto"/>
        <w:spacing w:after="140"/>
        <w:jc w:val="both"/>
      </w:pPr>
      <w:r w:rsidRPr="00E4762E">
        <w:t xml:space="preserve">Agradecemos las alegaciones presentadas </w:t>
      </w:r>
      <w:r w:rsidR="00CA6000">
        <w:t xml:space="preserve">por </w:t>
      </w:r>
      <w:r w:rsidR="00CA6000">
        <w:rPr>
          <w:szCs w:val="26"/>
        </w:rPr>
        <w:t>la gerente del Servicio Navarro de Empleo conjuntamente con la directora general de Protección Social y Cooperación al Desarrollo el 8 de enero de 2025</w:t>
      </w:r>
      <w:r w:rsidRPr="00E4762E">
        <w:t xml:space="preserve">. </w:t>
      </w:r>
      <w:r w:rsidRPr="00CA6000">
        <w:t xml:space="preserve">Se han analizado dichas alegaciones </w:t>
      </w:r>
      <w:r w:rsidR="00CA6000">
        <w:t>y con respecto a las mismas se informa lo siguiente</w:t>
      </w:r>
      <w:r w:rsidRPr="00CA6000">
        <w:t>:</w:t>
      </w:r>
    </w:p>
    <w:p w14:paraId="3D6F63D1" w14:textId="261CDEB5" w:rsidR="00CA6000" w:rsidRDefault="00CA6000" w:rsidP="00E12743">
      <w:pPr>
        <w:pStyle w:val="texto"/>
        <w:numPr>
          <w:ilvl w:val="0"/>
          <w:numId w:val="52"/>
        </w:numPr>
        <w:tabs>
          <w:tab w:val="left" w:pos="567"/>
        </w:tabs>
        <w:spacing w:after="140"/>
        <w:ind w:left="0" w:firstLine="284"/>
        <w:jc w:val="both"/>
      </w:pPr>
      <w:r>
        <w:t xml:space="preserve">Sobre la alegación </w:t>
      </w:r>
      <w:r w:rsidR="001E1859">
        <w:t>de</w:t>
      </w:r>
      <w:r>
        <w:t xml:space="preserve"> la página 3 en la que se señala que </w:t>
      </w:r>
      <w:r w:rsidRPr="00CA6000">
        <w:rPr>
          <w:i/>
          <w:sz w:val="24"/>
        </w:rPr>
        <w:t>“...Resulta curioso concluir con un incumplimiento de la obligación cuando, justo en la valoración individualizada de cada uno de los requisitos considera que “no podemos opinar” sobre el cumplimiento o no de dicho requisito…”,</w:t>
      </w:r>
      <w:r>
        <w:rPr>
          <w:i/>
        </w:rPr>
        <w:t xml:space="preserve"> </w:t>
      </w:r>
      <w:r>
        <w:t>hay un error en su redacción</w:t>
      </w:r>
      <w:r w:rsidR="001E1859">
        <w:t>,</w:t>
      </w:r>
      <w:r>
        <w:t xml:space="preserve"> ya que la conclusión a la que se alude se refiere al cumplimiento del artículo 18 y no del 34, por lo que la afirmación de esta Cámara al respecto se mantiene. </w:t>
      </w:r>
    </w:p>
    <w:p w14:paraId="0B28EE79" w14:textId="270FE9F6" w:rsidR="00CA6000" w:rsidRDefault="00CA6000" w:rsidP="00E12743">
      <w:pPr>
        <w:pStyle w:val="texto"/>
        <w:numPr>
          <w:ilvl w:val="0"/>
          <w:numId w:val="52"/>
        </w:numPr>
        <w:tabs>
          <w:tab w:val="left" w:pos="567"/>
        </w:tabs>
        <w:spacing w:after="140"/>
        <w:ind w:left="0" w:firstLine="284"/>
        <w:jc w:val="both"/>
        <w:rPr>
          <w:szCs w:val="26"/>
        </w:rPr>
      </w:pPr>
      <w:r>
        <w:t xml:space="preserve">En cuanto a la alegación de la página 4 en la que se indica que </w:t>
      </w:r>
      <w:r w:rsidRPr="00CA6000">
        <w:rPr>
          <w:i/>
          <w:sz w:val="24"/>
        </w:rPr>
        <w:t>“…se refiere el informe al Ingreso M</w:t>
      </w:r>
      <w:r w:rsidR="001E1859">
        <w:rPr>
          <w:i/>
          <w:sz w:val="24"/>
        </w:rPr>
        <w:t>í</w:t>
      </w:r>
      <w:r w:rsidRPr="00CA6000">
        <w:rPr>
          <w:i/>
          <w:sz w:val="24"/>
        </w:rPr>
        <w:t>nimo Vital como única prestación que, con carácter previo, deben solicitar los posibles beneficiarios de RG, cuando en realidad la RG es subsidiaria y complementaria de cualquier otro tipo de recursos y prestaciones económicas, …”</w:t>
      </w:r>
      <w:r>
        <w:rPr>
          <w:i/>
          <w:sz w:val="24"/>
        </w:rPr>
        <w:t xml:space="preserve"> </w:t>
      </w:r>
      <w:r w:rsidRPr="00CA6000">
        <w:rPr>
          <w:szCs w:val="26"/>
        </w:rPr>
        <w:t xml:space="preserve">la </w:t>
      </w:r>
      <w:r>
        <w:rPr>
          <w:szCs w:val="26"/>
        </w:rPr>
        <w:t xml:space="preserve">alegación es errónea, ya que a lo largo del informe </w:t>
      </w:r>
      <w:r w:rsidR="001E1859">
        <w:rPr>
          <w:szCs w:val="26"/>
        </w:rPr>
        <w:t xml:space="preserve">de esta Cámara </w:t>
      </w:r>
      <w:r>
        <w:rPr>
          <w:szCs w:val="26"/>
        </w:rPr>
        <w:t xml:space="preserve">se describe este hecho y solo en la verificación del requisito contenido en el artículo 18.b. es cuando esta Cámara señala que </w:t>
      </w:r>
      <w:r w:rsidR="00563FF3">
        <w:rPr>
          <w:szCs w:val="26"/>
        </w:rPr>
        <w:t>no se ha podido verificar que una de estas prestaciones como es el IMV se haya solicitado de manera previa</w:t>
      </w:r>
      <w:r w:rsidR="001E1859">
        <w:rPr>
          <w:szCs w:val="26"/>
        </w:rPr>
        <w:t xml:space="preserve"> (se añade al párrafo una matización por si no se entendiera adecuadamente)</w:t>
      </w:r>
      <w:r w:rsidR="00563FF3">
        <w:rPr>
          <w:szCs w:val="26"/>
        </w:rPr>
        <w:t>. Las personas solicitantes efectivamente firman la declaración a la que se alude en la alegación, pero en el intento de verificar este hecho, es cuando nos hemos encontrado con las dificultades detalladas en nuestro informe.</w:t>
      </w:r>
    </w:p>
    <w:p w14:paraId="046269F4" w14:textId="77777777" w:rsidR="00812663" w:rsidRPr="007F76A9" w:rsidRDefault="00812663" w:rsidP="00E12743">
      <w:pPr>
        <w:pStyle w:val="texto"/>
        <w:numPr>
          <w:ilvl w:val="0"/>
          <w:numId w:val="52"/>
        </w:numPr>
        <w:tabs>
          <w:tab w:val="left" w:pos="567"/>
        </w:tabs>
        <w:spacing w:after="140"/>
        <w:ind w:left="0" w:firstLine="284"/>
        <w:jc w:val="both"/>
        <w:rPr>
          <w:szCs w:val="26"/>
        </w:rPr>
      </w:pPr>
      <w:r>
        <w:rPr>
          <w:szCs w:val="26"/>
        </w:rPr>
        <w:t>Respecto a la</w:t>
      </w:r>
      <w:r w:rsidRPr="007F76A9">
        <w:rPr>
          <w:szCs w:val="26"/>
        </w:rPr>
        <w:t xml:space="preserve"> alegación </w:t>
      </w:r>
      <w:r>
        <w:rPr>
          <w:szCs w:val="26"/>
        </w:rPr>
        <w:t xml:space="preserve">de la página 5 y siguientes </w:t>
      </w:r>
      <w:r w:rsidRPr="007F76A9">
        <w:rPr>
          <w:szCs w:val="26"/>
        </w:rPr>
        <w:t>referida a</w:t>
      </w:r>
      <w:r>
        <w:rPr>
          <w:szCs w:val="26"/>
        </w:rPr>
        <w:t xml:space="preserve">l cumplimiento de lo dispuesto en el artículo 34 de la </w:t>
      </w:r>
      <w:r w:rsidRPr="007F76A9">
        <w:rPr>
          <w:szCs w:val="26"/>
        </w:rPr>
        <w:t xml:space="preserve">Ley Foral 15/2016, </w:t>
      </w:r>
      <w:r>
        <w:rPr>
          <w:szCs w:val="26"/>
        </w:rPr>
        <w:t xml:space="preserve">de 11 de noviembre, que regula </w:t>
      </w:r>
      <w:r w:rsidRPr="007F76A9">
        <w:rPr>
          <w:szCs w:val="26"/>
        </w:rPr>
        <w:t xml:space="preserve">los derechos a la inclusión social y a la renta garantizada, esta Cámara entiende que el mencionado artículo, reconociendo el derecho de todo solicitante de </w:t>
      </w:r>
      <w:r>
        <w:rPr>
          <w:szCs w:val="26"/>
        </w:rPr>
        <w:t>r</w:t>
      </w:r>
      <w:r w:rsidRPr="007F76A9">
        <w:rPr>
          <w:szCs w:val="26"/>
        </w:rPr>
        <w:t xml:space="preserve">enta </w:t>
      </w:r>
      <w:r>
        <w:rPr>
          <w:szCs w:val="26"/>
        </w:rPr>
        <w:t>g</w:t>
      </w:r>
      <w:r w:rsidRPr="007F76A9">
        <w:rPr>
          <w:szCs w:val="26"/>
        </w:rPr>
        <w:t>arantiza</w:t>
      </w:r>
      <w:r>
        <w:rPr>
          <w:szCs w:val="26"/>
        </w:rPr>
        <w:t>da</w:t>
      </w:r>
      <w:r w:rsidRPr="007F76A9">
        <w:rPr>
          <w:szCs w:val="26"/>
        </w:rPr>
        <w:t xml:space="preserve"> a ejercer el derecho a un proceso personalizado de inclusión social, recoge a su vez dos situaciones en las que el ejercicio conjunto de los derechos a la inclusión social y a la renta garantizada deviene obligatorio. El criterio legal para definir tal obligación se concreta en la constatación de que no ha habido modificación en la situación de los perceptores de la </w:t>
      </w:r>
      <w:r>
        <w:rPr>
          <w:szCs w:val="26"/>
        </w:rPr>
        <w:t>renta</w:t>
      </w:r>
      <w:r w:rsidRPr="007F76A9">
        <w:rPr>
          <w:szCs w:val="26"/>
        </w:rPr>
        <w:t xml:space="preserve"> durante un periodo de tiempo. La actuación en estos casos se plantea como progresiva en cuanto</w:t>
      </w:r>
      <w:r>
        <w:rPr>
          <w:szCs w:val="26"/>
        </w:rPr>
        <w:t xml:space="preserve"> a</w:t>
      </w:r>
      <w:r w:rsidRPr="007F76A9">
        <w:rPr>
          <w:szCs w:val="26"/>
        </w:rPr>
        <w:t xml:space="preserve"> las medidas de intervención. </w:t>
      </w:r>
    </w:p>
    <w:p w14:paraId="4E875EED" w14:textId="77777777" w:rsidR="00812663" w:rsidRPr="007F76A9" w:rsidRDefault="00812663" w:rsidP="00E12743">
      <w:pPr>
        <w:pStyle w:val="texto"/>
        <w:spacing w:after="140"/>
        <w:jc w:val="both"/>
        <w:rPr>
          <w:szCs w:val="26"/>
        </w:rPr>
      </w:pPr>
      <w:r w:rsidRPr="007F76A9">
        <w:rPr>
          <w:szCs w:val="26"/>
        </w:rPr>
        <w:t>En un primer estadi</w:t>
      </w:r>
      <w:r>
        <w:rPr>
          <w:szCs w:val="26"/>
        </w:rPr>
        <w:t xml:space="preserve">o, </w:t>
      </w:r>
      <w:r w:rsidRPr="00E12743">
        <w:t>cuando</w:t>
      </w:r>
      <w:r>
        <w:rPr>
          <w:szCs w:val="26"/>
        </w:rPr>
        <w:t xml:space="preserve"> la percepción de la renta</w:t>
      </w:r>
      <w:r w:rsidRPr="007F76A9">
        <w:rPr>
          <w:szCs w:val="26"/>
        </w:rPr>
        <w:t xml:space="preserve"> supera un año, el apartado segundo de este artículo obliga a las Administraciones</w:t>
      </w:r>
      <w:r>
        <w:rPr>
          <w:szCs w:val="26"/>
        </w:rPr>
        <w:t xml:space="preserve"> P</w:t>
      </w:r>
      <w:r w:rsidRPr="007F76A9">
        <w:rPr>
          <w:szCs w:val="26"/>
        </w:rPr>
        <w:t xml:space="preserve">úblicas </w:t>
      </w:r>
      <w:r>
        <w:rPr>
          <w:szCs w:val="26"/>
        </w:rPr>
        <w:t xml:space="preserve">de Navarra </w:t>
      </w:r>
      <w:r w:rsidRPr="007F76A9">
        <w:rPr>
          <w:szCs w:val="26"/>
        </w:rPr>
        <w:t xml:space="preserve">a diseñar un programa personalizado de inclusión social. </w:t>
      </w:r>
    </w:p>
    <w:p w14:paraId="3A518729" w14:textId="77777777" w:rsidR="00812663" w:rsidRPr="007F76A9" w:rsidRDefault="00812663" w:rsidP="00E12743">
      <w:pPr>
        <w:pStyle w:val="texto"/>
        <w:spacing w:after="140"/>
        <w:jc w:val="both"/>
        <w:rPr>
          <w:i/>
          <w:color w:val="000000"/>
          <w:sz w:val="24"/>
          <w:shd w:val="clear" w:color="auto" w:fill="FFFFFF"/>
        </w:rPr>
      </w:pPr>
      <w:r w:rsidRPr="007F76A9">
        <w:rPr>
          <w:szCs w:val="26"/>
        </w:rPr>
        <w:t xml:space="preserve">Cuando han transcurrido más de </w:t>
      </w:r>
      <w:r>
        <w:rPr>
          <w:szCs w:val="26"/>
        </w:rPr>
        <w:t>24</w:t>
      </w:r>
      <w:r w:rsidRPr="007F76A9">
        <w:rPr>
          <w:szCs w:val="26"/>
        </w:rPr>
        <w:t xml:space="preserve"> meses, el artículo 34.3 especifica qu</w:t>
      </w:r>
      <w:r>
        <w:rPr>
          <w:szCs w:val="26"/>
        </w:rPr>
        <w:t>e la administración p</w:t>
      </w:r>
      <w:r w:rsidRPr="007F76A9">
        <w:rPr>
          <w:szCs w:val="26"/>
        </w:rPr>
        <w:t>ública correspondiente “</w:t>
      </w:r>
      <w:r w:rsidRPr="007F76A9">
        <w:rPr>
          <w:i/>
          <w:color w:val="000000"/>
          <w:sz w:val="24"/>
          <w:shd w:val="clear" w:color="auto" w:fill="FFFFFF"/>
        </w:rPr>
        <w:t xml:space="preserve">deberá ofertarle, en su caso, al menos la </w:t>
      </w:r>
      <w:r w:rsidRPr="007F76A9">
        <w:rPr>
          <w:i/>
          <w:color w:val="000000"/>
          <w:sz w:val="24"/>
          <w:shd w:val="clear" w:color="auto" w:fill="FFFFFF"/>
        </w:rPr>
        <w:lastRenderedPageBreak/>
        <w:t>posibilidad de participar en un programa de Empleo Social Protegido u otra opción de empleo y/o formación, salvo que, a juicio de los servicios públicos que se establezcan reglamentariamente, sus miembros no se encuentren en condiciones de incorporarse al mismo. Esta oferta deberá constar en el programa personalizado, así como las obligaciones derivadas de ello”.</w:t>
      </w:r>
    </w:p>
    <w:p w14:paraId="64BAFA4C" w14:textId="77777777" w:rsidR="00812663" w:rsidRDefault="00812663" w:rsidP="00E12743">
      <w:pPr>
        <w:pStyle w:val="texto"/>
        <w:spacing w:after="140"/>
        <w:jc w:val="both"/>
        <w:rPr>
          <w:szCs w:val="26"/>
        </w:rPr>
      </w:pPr>
      <w:r w:rsidRPr="007F76A9">
        <w:rPr>
          <w:szCs w:val="26"/>
        </w:rPr>
        <w:t xml:space="preserve">Es decir, pasados </w:t>
      </w:r>
      <w:r>
        <w:rPr>
          <w:szCs w:val="26"/>
        </w:rPr>
        <w:t>24</w:t>
      </w:r>
      <w:r w:rsidRPr="007F76A9">
        <w:rPr>
          <w:szCs w:val="26"/>
        </w:rPr>
        <w:t xml:space="preserve"> meses desde el inicio de la percepción de la prestación, la norma, de forma explícita, expresa la necesidad de </w:t>
      </w:r>
      <w:r>
        <w:rPr>
          <w:szCs w:val="26"/>
        </w:rPr>
        <w:t>utilizar</w:t>
      </w:r>
      <w:r w:rsidRPr="007F76A9">
        <w:rPr>
          <w:szCs w:val="26"/>
        </w:rPr>
        <w:t xml:space="preserve"> protocolos más avanzados que garanticen el compromiso de actividad de los perceptores de la prestación, y esto es así, porque otros protocolos del servicio de orientación profesional, como el diagn</w:t>
      </w:r>
      <w:r>
        <w:rPr>
          <w:szCs w:val="26"/>
        </w:rPr>
        <w:t>ó</w:t>
      </w:r>
      <w:r w:rsidRPr="007F76A9">
        <w:rPr>
          <w:szCs w:val="26"/>
        </w:rPr>
        <w:t>stico individualizado o el diseño de itinerarios individualizados y personalizados de empleo, entiende la norma que ya han tenido que haberse ofrecido con anterioridad conforme a lo previsto en el artículo 3 de esta misma</w:t>
      </w:r>
      <w:r>
        <w:rPr>
          <w:szCs w:val="26"/>
        </w:rPr>
        <w:t xml:space="preserve"> </w:t>
      </w:r>
      <w:r w:rsidRPr="007F76A9">
        <w:rPr>
          <w:szCs w:val="26"/>
        </w:rPr>
        <w:t xml:space="preserve">Ley Foral 15/2016, </w:t>
      </w:r>
      <w:r>
        <w:rPr>
          <w:szCs w:val="26"/>
        </w:rPr>
        <w:t xml:space="preserve">de 11 de noviembre. </w:t>
      </w:r>
    </w:p>
    <w:p w14:paraId="74211D9B" w14:textId="77777777" w:rsidR="00812663" w:rsidRPr="007F76A9" w:rsidRDefault="00812663" w:rsidP="00E12743">
      <w:pPr>
        <w:pStyle w:val="texto"/>
        <w:spacing w:after="140"/>
        <w:jc w:val="both"/>
        <w:rPr>
          <w:szCs w:val="26"/>
        </w:rPr>
      </w:pPr>
      <w:r>
        <w:rPr>
          <w:szCs w:val="26"/>
        </w:rPr>
        <w:t xml:space="preserve">Por todo lo anterior, esta Cámara mantiene el contenido de su informe al respecto. </w:t>
      </w:r>
    </w:p>
    <w:p w14:paraId="5FF9573D" w14:textId="561B9C45" w:rsidR="00563FF3" w:rsidRDefault="00563FF3" w:rsidP="00E12743">
      <w:pPr>
        <w:pStyle w:val="texto"/>
        <w:numPr>
          <w:ilvl w:val="0"/>
          <w:numId w:val="52"/>
        </w:numPr>
        <w:tabs>
          <w:tab w:val="left" w:pos="567"/>
        </w:tabs>
        <w:spacing w:after="140"/>
        <w:ind w:left="0" w:firstLine="284"/>
        <w:jc w:val="both"/>
        <w:rPr>
          <w:szCs w:val="26"/>
        </w:rPr>
      </w:pPr>
      <w:r>
        <w:rPr>
          <w:szCs w:val="26"/>
        </w:rPr>
        <w:t xml:space="preserve">En lo </w:t>
      </w:r>
      <w:r w:rsidRPr="00E12743">
        <w:t>referido</w:t>
      </w:r>
      <w:r>
        <w:rPr>
          <w:szCs w:val="26"/>
        </w:rPr>
        <w:t xml:space="preserve"> al contenido de la alegación de la página 7 en la cual se señala la existencia de datos contradictorios entre las 21.563 personas que dejaron de percibir la prestación y la volvieron a retomar y las 3.673 que la dejaron y no la volvieron a cobrar, no existe tal contradicción. De hecho, los datos se refieren a indicadores diferentes: en el primer caso, son 21.563 personas las que en el periodo analizado dejaron de percibir la prestación</w:t>
      </w:r>
      <w:r w:rsidR="00040287">
        <w:rPr>
          <w:szCs w:val="26"/>
        </w:rPr>
        <w:t>,</w:t>
      </w:r>
      <w:r>
        <w:rPr>
          <w:szCs w:val="26"/>
        </w:rPr>
        <w:t xml:space="preserve"> pero vuelven a cobrarla en un total de 28.338 ocasiones</w:t>
      </w:r>
      <w:r w:rsidR="00040287">
        <w:rPr>
          <w:szCs w:val="26"/>
        </w:rPr>
        <w:t>,</w:t>
      </w:r>
      <w:r>
        <w:rPr>
          <w:szCs w:val="26"/>
        </w:rPr>
        <w:t xml:space="preserve"> y en el segundo, son 3.673 las personas que dejaron de cobrar la prestación y no lo vuelven a hacer en el periodo objeto de fiscalización. </w:t>
      </w:r>
    </w:p>
    <w:p w14:paraId="0589FA81" w14:textId="7DA1164D" w:rsidR="00563FF3" w:rsidRDefault="003D5D77" w:rsidP="00E12743">
      <w:pPr>
        <w:pStyle w:val="texto"/>
        <w:numPr>
          <w:ilvl w:val="0"/>
          <w:numId w:val="52"/>
        </w:numPr>
        <w:tabs>
          <w:tab w:val="left" w:pos="567"/>
        </w:tabs>
        <w:spacing w:after="140"/>
        <w:ind w:left="0" w:firstLine="284"/>
        <w:jc w:val="both"/>
        <w:rPr>
          <w:szCs w:val="26"/>
        </w:rPr>
      </w:pPr>
      <w:r>
        <w:rPr>
          <w:szCs w:val="26"/>
        </w:rPr>
        <w:t xml:space="preserve">La </w:t>
      </w:r>
      <w:r w:rsidRPr="00E12743">
        <w:t>página</w:t>
      </w:r>
      <w:r>
        <w:rPr>
          <w:szCs w:val="26"/>
        </w:rPr>
        <w:t xml:space="preserve"> 8 de las alegaciones hace referencia a un error en la cifra de personas perceptoras de 24 meses disponibles para el empleo y efectivamente la cifra correcta es 11.945 personas, por lo que se procede a corregir la cifra de la página 10.</w:t>
      </w:r>
    </w:p>
    <w:p w14:paraId="27E1846E" w14:textId="6EED4DA2" w:rsidR="003D5D77" w:rsidRDefault="00D62F1F" w:rsidP="00E12743">
      <w:pPr>
        <w:pStyle w:val="texto"/>
        <w:numPr>
          <w:ilvl w:val="0"/>
          <w:numId w:val="52"/>
        </w:numPr>
        <w:tabs>
          <w:tab w:val="left" w:pos="567"/>
        </w:tabs>
        <w:spacing w:after="140"/>
        <w:ind w:left="0" w:firstLine="284"/>
        <w:jc w:val="both"/>
        <w:rPr>
          <w:szCs w:val="26"/>
        </w:rPr>
      </w:pPr>
      <w:r>
        <w:rPr>
          <w:szCs w:val="26"/>
        </w:rPr>
        <w:t xml:space="preserve">En </w:t>
      </w:r>
      <w:r w:rsidRPr="00E12743">
        <w:t>cuanto</w:t>
      </w:r>
      <w:r>
        <w:rPr>
          <w:szCs w:val="26"/>
        </w:rPr>
        <w:t xml:space="preserve"> a la corrección propuesta en la página 8 de las alegaciones sobre la nota al pie de la página 21 de nuestro informe, lo señalado es información adicional y no supone que lo indicado sea incorrecto.</w:t>
      </w:r>
    </w:p>
    <w:p w14:paraId="20C82BD3" w14:textId="7CAED216" w:rsidR="00D62F1F" w:rsidRDefault="00D62F1F" w:rsidP="00E12743">
      <w:pPr>
        <w:pStyle w:val="texto"/>
        <w:numPr>
          <w:ilvl w:val="0"/>
          <w:numId w:val="52"/>
        </w:numPr>
        <w:tabs>
          <w:tab w:val="left" w:pos="567"/>
        </w:tabs>
        <w:spacing w:after="140"/>
        <w:ind w:left="0" w:firstLine="284"/>
        <w:jc w:val="both"/>
        <w:rPr>
          <w:szCs w:val="26"/>
        </w:rPr>
      </w:pPr>
      <w:r>
        <w:rPr>
          <w:szCs w:val="26"/>
        </w:rPr>
        <w:t xml:space="preserve">En </w:t>
      </w:r>
      <w:r w:rsidRPr="00E12743">
        <w:t>relación</w:t>
      </w:r>
      <w:r>
        <w:rPr>
          <w:szCs w:val="26"/>
        </w:rPr>
        <w:t xml:space="preserve"> con el contenido de la página 11 de las alegaciones sobre la constancia de información sobre si las personas no acuden a la orientación, formación y empleo propuestas, se procede a matizar la redacción de la página 32 y a reformular la recomendación inicial de esta Cámara. </w:t>
      </w:r>
    </w:p>
    <w:p w14:paraId="59BE8556" w14:textId="02A9F997" w:rsidR="00125C1E" w:rsidRPr="00CA6000" w:rsidRDefault="00125C1E" w:rsidP="00E12743">
      <w:pPr>
        <w:pStyle w:val="texto"/>
        <w:numPr>
          <w:ilvl w:val="0"/>
          <w:numId w:val="52"/>
        </w:numPr>
        <w:tabs>
          <w:tab w:val="left" w:pos="567"/>
        </w:tabs>
        <w:spacing w:after="140"/>
        <w:ind w:left="0" w:firstLine="284"/>
        <w:jc w:val="both"/>
        <w:rPr>
          <w:szCs w:val="26"/>
        </w:rPr>
      </w:pPr>
      <w:r>
        <w:rPr>
          <w:szCs w:val="26"/>
        </w:rPr>
        <w:t xml:space="preserve">Sobre </w:t>
      </w:r>
      <w:r w:rsidRPr="00E12743">
        <w:t>el</w:t>
      </w:r>
      <w:r>
        <w:rPr>
          <w:szCs w:val="26"/>
        </w:rPr>
        <w:t xml:space="preserve"> resto de alegaciones presentadas, esta Cámara considera que son explicaciones al informe presentado y que no alteran su contenido. </w:t>
      </w:r>
    </w:p>
    <w:p w14:paraId="2CEF16A9" w14:textId="77777777" w:rsidR="00594B0B" w:rsidRDefault="00594B0B" w:rsidP="000E6E25">
      <w:pPr>
        <w:pStyle w:val="texto"/>
        <w:spacing w:after="140"/>
        <w:ind w:left="1004" w:firstLine="0"/>
        <w:jc w:val="both"/>
      </w:pPr>
      <w:r>
        <w:t>Pamplona, 15 de enero de 2025</w:t>
      </w:r>
    </w:p>
    <w:p w14:paraId="6B45095D" w14:textId="77777777" w:rsidR="00594B0B" w:rsidRPr="00BB60F4" w:rsidRDefault="00594B0B" w:rsidP="000E6E25">
      <w:pPr>
        <w:pStyle w:val="texto"/>
        <w:spacing w:after="140"/>
        <w:ind w:left="1004" w:firstLine="0"/>
        <w:jc w:val="both"/>
      </w:pPr>
      <w:r>
        <w:t>El presidente de la Cámara de Comptos: Ignacio Cabeza del Salvador</w:t>
      </w:r>
    </w:p>
    <w:sectPr w:rsidR="00594B0B" w:rsidRPr="00BB60F4" w:rsidSect="008A58AD">
      <w:headerReference w:type="default" r:id="rId26"/>
      <w:footerReference w:type="default" r:id="rId27"/>
      <w:pgSz w:w="11906" w:h="16838"/>
      <w:pgMar w:top="1985" w:right="155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396A7" w14:textId="77777777" w:rsidR="00CA6000" w:rsidRDefault="00CA6000">
      <w:r>
        <w:separator/>
      </w:r>
    </w:p>
  </w:endnote>
  <w:endnote w:type="continuationSeparator" w:id="0">
    <w:p w14:paraId="5A0A88BD" w14:textId="77777777" w:rsidR="00CA6000" w:rsidRDefault="00CA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ajan">
    <w:altName w:val="Cambr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9F1E" w14:textId="473714DB" w:rsidR="00CA6000" w:rsidRDefault="00CA6000" w:rsidP="00F849BD">
    <w:pPr>
      <w:pStyle w:val="BorradorProvisional"/>
      <w:ind w:left="0"/>
      <w:jc w:val="center"/>
      <w:rPr>
        <w:rFonts w:ascii="Times New Roman" w:hAnsi="Times New Roman"/>
        <w:b w:val="0"/>
        <w:color w:val="auto"/>
        <w:sz w:val="20"/>
        <w:szCs w:val="20"/>
      </w:rPr>
    </w:pPr>
  </w:p>
  <w:p w14:paraId="296FEF7D" w14:textId="77777777" w:rsidR="00CA6000" w:rsidRDefault="00CA6000" w:rsidP="00F849BD">
    <w:pPr>
      <w:pStyle w:val="BorradorProvisional"/>
      <w:ind w:left="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E1B8" w14:textId="4AC9A410" w:rsidR="00CA6000" w:rsidRDefault="00CA6000" w:rsidP="00F849BD">
    <w:pPr>
      <w:pStyle w:val="Piedepgina"/>
      <w:tabs>
        <w:tab w:val="clear" w:pos="4252"/>
        <w:tab w:val="clear" w:pos="8504"/>
        <w:tab w:val="center" w:pos="4440"/>
      </w:tabs>
      <w:spacing w:after="0"/>
      <w:ind w:right="29"/>
      <w:rPr>
        <w:rFonts w:ascii="GillSans" w:hAnsi="GillSans"/>
      </w:rPr>
    </w:pPr>
  </w:p>
  <w:p w14:paraId="4A0A78C8" w14:textId="77D4AE22" w:rsidR="00CA6000" w:rsidRPr="00F03814" w:rsidRDefault="00CA6000" w:rsidP="005E3C11">
    <w:pPr>
      <w:pStyle w:val="Piedepgina"/>
      <w:tabs>
        <w:tab w:val="clear" w:pos="4252"/>
        <w:tab w:val="clear" w:pos="8504"/>
        <w:tab w:val="center" w:pos="4440"/>
      </w:tabs>
      <w:spacing w:after="0" w:line="240" w:lineRule="atLeast"/>
      <w:ind w:right="28"/>
      <w:jc w:val="center"/>
      <w:rPr>
        <w:rFonts w:ascii="Trajan" w:hAnsi="Trajan"/>
        <w:sz w:val="24"/>
        <w:szCs w:val="24"/>
      </w:rPr>
    </w:pP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4E3854">
      <w:rPr>
        <w:rStyle w:val="Nmerodepgina"/>
        <w:noProof/>
        <w:szCs w:val="24"/>
      </w:rPr>
      <w:t>20</w:t>
    </w:r>
    <w:r w:rsidRPr="001D4F09">
      <w:rPr>
        <w:rStyle w:val="Nmerodepgina"/>
        <w:szCs w:val="24"/>
      </w:rPr>
      <w:fldChar w:fldCharType="end"/>
    </w:r>
    <w:r w:rsidRPr="001D4F09">
      <w:rPr>
        <w:rStyle w:val="Nmerodepgina"/>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F2D1" w14:textId="77777777" w:rsidR="00DD538F" w:rsidRDefault="00DD538F" w:rsidP="00F849BD">
    <w:pPr>
      <w:pStyle w:val="Piedepgina"/>
      <w:tabs>
        <w:tab w:val="clear" w:pos="4252"/>
        <w:tab w:val="clear" w:pos="8504"/>
        <w:tab w:val="center" w:pos="4440"/>
      </w:tabs>
      <w:spacing w:after="0"/>
      <w:ind w:right="29"/>
      <w:rPr>
        <w:rFonts w:ascii="GillSans" w:hAnsi="Gill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AE4F" w14:textId="77777777" w:rsidR="00CA6000" w:rsidRDefault="00CA6000">
      <w:r>
        <w:separator/>
      </w:r>
    </w:p>
  </w:footnote>
  <w:footnote w:type="continuationSeparator" w:id="0">
    <w:p w14:paraId="0D31DE37" w14:textId="77777777" w:rsidR="00CA6000" w:rsidRDefault="00CA6000">
      <w:r>
        <w:continuationSeparator/>
      </w:r>
    </w:p>
  </w:footnote>
  <w:footnote w:id="1">
    <w:p w14:paraId="27FAB8C6" w14:textId="72FC352E" w:rsidR="00CA6000" w:rsidRDefault="00CA6000" w:rsidP="00832FE5">
      <w:pPr>
        <w:pStyle w:val="Textonotapie"/>
        <w:ind w:firstLine="0"/>
      </w:pPr>
      <w:r>
        <w:rPr>
          <w:rStyle w:val="Refdenotaalpie"/>
        </w:rPr>
        <w:footnoteRef/>
      </w:r>
      <w:r>
        <w:t xml:space="preserve"> Indicador AROPE que obtiene el porcentaje de población que se encuentra en riesgo de pobreza y/o exclusión social combinando elementos de renta, posibilidades de consumo y empleo.</w:t>
      </w:r>
    </w:p>
  </w:footnote>
  <w:footnote w:id="2">
    <w:p w14:paraId="7926B26C" w14:textId="13AD0F50" w:rsidR="00CA6000" w:rsidRDefault="00CA6000" w:rsidP="00832FE5">
      <w:pPr>
        <w:pStyle w:val="Textonotapie"/>
        <w:ind w:firstLine="0"/>
      </w:pPr>
      <w:r>
        <w:rPr>
          <w:rStyle w:val="Refdenotaalpie"/>
        </w:rPr>
        <w:footnoteRef/>
      </w:r>
      <w:r>
        <w:t xml:space="preserve"> Porcentaje de población cuyos ingresos son inferiores al 40 por ciento de la mediana de la renta nacional del año. </w:t>
      </w:r>
    </w:p>
  </w:footnote>
  <w:footnote w:id="3">
    <w:p w14:paraId="042C639A" w14:textId="2CFC8CB0" w:rsidR="00CA6000" w:rsidRDefault="00CA6000" w:rsidP="00466EF9">
      <w:pPr>
        <w:pStyle w:val="Textonotapie"/>
        <w:ind w:firstLine="0"/>
      </w:pPr>
      <w:r>
        <w:rPr>
          <w:rStyle w:val="Refdenotaalpie"/>
        </w:rPr>
        <w:footnoteRef/>
      </w:r>
      <w:r>
        <w:t xml:space="preserve"> El importe mensual varía desde un mínimo de 604 euros hasta un máximo de 1.462 euros en función del número de miembros de la unidad de convivencia y sus características. </w:t>
      </w:r>
    </w:p>
  </w:footnote>
  <w:footnote w:id="4">
    <w:p w14:paraId="62D6AE43" w14:textId="63D3BD6B" w:rsidR="00CA6000" w:rsidRDefault="00CA6000" w:rsidP="008731E2">
      <w:pPr>
        <w:pStyle w:val="Textonotapie"/>
        <w:ind w:firstLine="0"/>
      </w:pPr>
      <w:r>
        <w:rPr>
          <w:rStyle w:val="Refdenotaalpie"/>
        </w:rPr>
        <w:footnoteRef/>
      </w:r>
      <w:r>
        <w:t xml:space="preserve"> Hemos analizado las actuaciones del Departamento de Derechos Sociales, Economía y Empleo del Departamento de Educación sin incluir el resto de acciones de otras administraciones públicas que pudieran existir. </w:t>
      </w:r>
    </w:p>
  </w:footnote>
  <w:footnote w:id="5">
    <w:p w14:paraId="54FBD441" w14:textId="35DCED3F" w:rsidR="003D5D77" w:rsidRDefault="003D5D77" w:rsidP="003D5D77">
      <w:pPr>
        <w:pStyle w:val="Textonotapie"/>
        <w:ind w:firstLine="0"/>
      </w:pPr>
      <w:r>
        <w:rPr>
          <w:rStyle w:val="Refdenotaalpie"/>
        </w:rPr>
        <w:footnoteRef/>
      </w:r>
      <w:r>
        <w:t xml:space="preserve"> Cifra modificada tras la alegación presentada. </w:t>
      </w:r>
    </w:p>
  </w:footnote>
  <w:footnote w:id="6">
    <w:p w14:paraId="387CA6DE" w14:textId="48BFE368" w:rsidR="00CA6000" w:rsidRPr="002E6702" w:rsidRDefault="00CA6000" w:rsidP="00C577CC">
      <w:pPr>
        <w:pStyle w:val="Textonotapie"/>
        <w:ind w:firstLine="0"/>
      </w:pPr>
      <w:r w:rsidRPr="002E6702">
        <w:rPr>
          <w:rStyle w:val="Refdenotaalpie"/>
        </w:rPr>
        <w:footnoteRef/>
      </w:r>
      <w:r w:rsidRPr="002E6702">
        <w:t xml:space="preserve"> El SIPSS no dispone del histórico de datos del periodo 2019-2020 referidos al Documento Nacional de Identidad que nos permita explotar de manera automatizada dichos datos.</w:t>
      </w:r>
    </w:p>
  </w:footnote>
  <w:footnote w:id="7">
    <w:p w14:paraId="63F59E3E" w14:textId="46D93361" w:rsidR="001E1859" w:rsidRDefault="001E1859" w:rsidP="001E1859">
      <w:pPr>
        <w:pStyle w:val="Textonotapie"/>
        <w:ind w:firstLine="0"/>
      </w:pPr>
      <w:r>
        <w:rPr>
          <w:rStyle w:val="Refdenotaalpie"/>
        </w:rPr>
        <w:footnoteRef/>
      </w:r>
      <w:r>
        <w:t xml:space="preserve"> Párrafo modificado por las alegaciones presentadas. </w:t>
      </w:r>
    </w:p>
  </w:footnote>
  <w:footnote w:id="8">
    <w:p w14:paraId="23838116" w14:textId="77777777" w:rsidR="00CA6000" w:rsidRPr="00C5131C" w:rsidRDefault="00CA6000" w:rsidP="00CC1E0C">
      <w:pPr>
        <w:pStyle w:val="Textonotapie"/>
        <w:spacing w:after="0"/>
        <w:ind w:firstLine="0"/>
      </w:pPr>
      <w:r w:rsidRPr="00C5131C">
        <w:rPr>
          <w:rStyle w:val="Refdenotaalpie"/>
        </w:rPr>
        <w:footnoteRef/>
      </w:r>
      <w:r w:rsidRPr="00C5131C">
        <w:t xml:space="preserve"> Informe disponible en: </w:t>
      </w:r>
      <w:hyperlink r:id="rId1" w:history="1">
        <w:r w:rsidRPr="00C5131C">
          <w:rPr>
            <w:rStyle w:val="Hipervnculo"/>
          </w:rPr>
          <w:t>https://www.eapn.es/estadodepobreza/ARCHIVO/documentos/informe-AROPE-2024-Comunidades-autonomas-Union-Europea.pdf</w:t>
        </w:r>
      </w:hyperlink>
    </w:p>
    <w:p w14:paraId="30D7AA69" w14:textId="77777777" w:rsidR="00CA6000" w:rsidRPr="004101D9" w:rsidRDefault="00CA6000" w:rsidP="00CC1E0C">
      <w:pPr>
        <w:pStyle w:val="Textonotapie"/>
        <w:ind w:firstLine="0"/>
        <w:jc w:val="left"/>
        <w:rPr>
          <w:sz w:val="18"/>
          <w:szCs w:val="18"/>
        </w:rPr>
      </w:pPr>
    </w:p>
  </w:footnote>
  <w:footnote w:id="9">
    <w:p w14:paraId="2F250C01" w14:textId="77777777" w:rsidR="00CA6000" w:rsidRPr="00C5131C" w:rsidRDefault="00CA6000" w:rsidP="00150691">
      <w:pPr>
        <w:pStyle w:val="Textonotapie"/>
        <w:spacing w:after="0"/>
        <w:ind w:firstLine="0"/>
      </w:pPr>
      <w:r w:rsidRPr="00C5131C">
        <w:rPr>
          <w:rStyle w:val="Refdenotaalpie"/>
        </w:rPr>
        <w:footnoteRef/>
      </w:r>
      <w:r w:rsidRPr="00C5131C">
        <w:t xml:space="preserve"> </w:t>
      </w:r>
      <w:r w:rsidRPr="00C5131C">
        <w:rPr>
          <w:lang w:val="es-ES"/>
        </w:rPr>
        <w:t>En caso de estar percibiendo pensión no contributiva de jubilación y de reunir los requisitos para acceder a la RG, se tendrá derecho además a solicitar una deducción fiscal hasta el límite de la RG que corresponda.</w:t>
      </w:r>
    </w:p>
  </w:footnote>
  <w:footnote w:id="10">
    <w:p w14:paraId="534AA451" w14:textId="77777777" w:rsidR="00CA6000" w:rsidRPr="00C5131C" w:rsidRDefault="00CA6000" w:rsidP="00611E49">
      <w:pPr>
        <w:pStyle w:val="Textonotapie"/>
        <w:spacing w:after="0"/>
        <w:ind w:firstLine="0"/>
      </w:pPr>
      <w:r w:rsidRPr="00C5131C">
        <w:rPr>
          <w:rStyle w:val="Refdenotaalpie"/>
        </w:rPr>
        <w:footnoteRef/>
      </w:r>
      <w:r w:rsidRPr="00C5131C">
        <w:t xml:space="preserve"> A la finalización de la percepción de esta prestación, si se cumplen determinados requisitos, puede pasar a percibirse la renta activa de inserción.</w:t>
      </w:r>
    </w:p>
  </w:footnote>
  <w:footnote w:id="11">
    <w:p w14:paraId="399669B1" w14:textId="77777777" w:rsidR="00CA6000" w:rsidRPr="00C5131C" w:rsidRDefault="00CA6000" w:rsidP="005F087F">
      <w:pPr>
        <w:pStyle w:val="Textonotapie"/>
        <w:ind w:firstLine="0"/>
      </w:pPr>
      <w:r w:rsidRPr="00C5131C">
        <w:rPr>
          <w:rStyle w:val="Refdenotaalpie"/>
        </w:rPr>
        <w:footnoteRef/>
      </w:r>
      <w:r w:rsidRPr="00C5131C">
        <w:t xml:space="preserve"> Se entiende por unidad familiar la persona solicitante de RG y en su caso las que convivan con ella y mantengan una relación de parentesco o afinidad. </w:t>
      </w:r>
    </w:p>
  </w:footnote>
  <w:footnote w:id="12">
    <w:p w14:paraId="3EEE046A" w14:textId="77777777" w:rsidR="00CA6000" w:rsidRPr="00C5131C" w:rsidRDefault="00CA6000" w:rsidP="004B5DA4">
      <w:pPr>
        <w:pStyle w:val="Textonotapie"/>
        <w:spacing w:after="0"/>
        <w:ind w:firstLine="0"/>
      </w:pPr>
      <w:r w:rsidRPr="00C5131C">
        <w:rPr>
          <w:rStyle w:val="Refdenotaalpie"/>
        </w:rPr>
        <w:footnoteRef/>
      </w:r>
      <w:r w:rsidRPr="00C5131C">
        <w:t xml:space="preserve"> Esta norma fue derogada por la Ley 19/2021, de 20 de diciembre, por la que se establece el ingreso mínimo vital.</w:t>
      </w:r>
    </w:p>
  </w:footnote>
  <w:footnote w:id="13">
    <w:p w14:paraId="66E5CCD0" w14:textId="77777777" w:rsidR="00CA6000" w:rsidRPr="00C5131C" w:rsidRDefault="00CA6000" w:rsidP="002377DF">
      <w:pPr>
        <w:pStyle w:val="Textonotapie"/>
        <w:ind w:firstLine="0"/>
      </w:pPr>
      <w:r w:rsidRPr="00C5131C">
        <w:rPr>
          <w:rStyle w:val="Refdenotaalpie"/>
        </w:rPr>
        <w:footnoteRef/>
      </w:r>
      <w:r w:rsidRPr="00C5131C">
        <w:t xml:space="preserve"> Hemos solicitado al departamento información sobre el gasto de esta prestación en años anteriores y para el resto de 2022, y según nos indican, no disponen de estos datos.</w:t>
      </w:r>
    </w:p>
  </w:footnote>
  <w:footnote w:id="14">
    <w:p w14:paraId="3ACAD16D" w14:textId="484A346D" w:rsidR="001E1859" w:rsidRDefault="001E1859" w:rsidP="001E1859">
      <w:pPr>
        <w:pStyle w:val="Textonotapie"/>
        <w:ind w:firstLine="0"/>
      </w:pPr>
      <w:r>
        <w:rPr>
          <w:rStyle w:val="Refdenotaalpie"/>
        </w:rPr>
        <w:footnoteRef/>
      </w:r>
      <w:r>
        <w:t xml:space="preserve"> Párrafo modificado por las alegaciones presentadas. </w:t>
      </w:r>
    </w:p>
  </w:footnote>
  <w:footnote w:id="15">
    <w:p w14:paraId="3A24CC7D" w14:textId="77777777" w:rsidR="00CA6000" w:rsidRPr="00C5131C" w:rsidRDefault="00CA6000" w:rsidP="00FE1F21">
      <w:pPr>
        <w:pStyle w:val="Textonotapie"/>
        <w:ind w:firstLine="0"/>
      </w:pPr>
      <w:r w:rsidRPr="00C5131C">
        <w:rPr>
          <w:rStyle w:val="Refdenotaalpie"/>
        </w:rPr>
        <w:footnoteRef/>
      </w:r>
      <w:r w:rsidRPr="00C5131C">
        <w:t xml:space="preserve"> Herramienta corporativa utilizada para la gestión automatizada y la tramitación telemática de los procedimientos administrativos del Gobierno de Navarra.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4E12" w14:textId="5C4D9212" w:rsidR="00CA6000" w:rsidRDefault="00CA6000">
    <w:pPr>
      <w:pStyle w:val="Encabezado"/>
    </w:pPr>
    <w:r>
      <w:rPr>
        <w:noProof/>
      </w:rPr>
      <w:drawing>
        <wp:anchor distT="0" distB="0" distL="114300" distR="114300" simplePos="0" relativeHeight="251661312" behindDoc="0" locked="0" layoutInCell="1" allowOverlap="1" wp14:anchorId="70DA29A1" wp14:editId="45E2F024">
          <wp:simplePos x="0" y="0"/>
          <wp:positionH relativeFrom="column">
            <wp:posOffset>-80010</wp:posOffset>
          </wp:positionH>
          <wp:positionV relativeFrom="paragraph">
            <wp:posOffset>-211455</wp:posOffset>
          </wp:positionV>
          <wp:extent cx="809625" cy="809625"/>
          <wp:effectExtent l="0" t="0" r="1270" b="127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PTOS_ESCUDO_COLOR_TRANSPARENTE_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margin">
            <wp14:pctWidth>0</wp14:pctWidth>
          </wp14:sizeRelH>
          <wp14:sizeRelV relativeFrom="margin">
            <wp14:pctHeight>0</wp14:pctHeight>
          </wp14:sizeRelV>
        </wp:anchor>
      </w:drawing>
    </w:r>
    <w:r w:rsidRPr="00A8137F">
      <w:rPr>
        <w:noProof/>
        <w:color w:val="2B579A"/>
        <w:shd w:val="clear" w:color="auto" w:fill="E6E6E6"/>
      </w:rPr>
      <mc:AlternateContent>
        <mc:Choice Requires="wps">
          <w:drawing>
            <wp:anchor distT="0" distB="0" distL="114300" distR="114300" simplePos="0" relativeHeight="251660288" behindDoc="0" locked="0" layoutInCell="1" allowOverlap="1" wp14:anchorId="748EA0B8" wp14:editId="79699BCA">
              <wp:simplePos x="0" y="0"/>
              <wp:positionH relativeFrom="column">
                <wp:posOffset>-219075</wp:posOffset>
              </wp:positionH>
              <wp:positionV relativeFrom="paragraph">
                <wp:posOffset>589915</wp:posOffset>
              </wp:positionV>
              <wp:extent cx="1105535" cy="121920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12192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98AE3C4" w14:textId="77777777" w:rsidR="00CA6000" w:rsidRPr="003A7956" w:rsidRDefault="00CA6000" w:rsidP="002455A7">
                          <w:pPr>
                            <w:jc w:val="center"/>
                            <w:rPr>
                              <w:sz w:val="18"/>
                              <w:szCs w:val="18"/>
                            </w:rPr>
                          </w:pPr>
                          <w:r w:rsidRPr="003A7956">
                            <w:rPr>
                              <w:sz w:val="18"/>
                              <w:szCs w:val="18"/>
                            </w:rPr>
                            <w:t>CAMARA DE</w:t>
                          </w:r>
                        </w:p>
                        <w:p w14:paraId="30507B48" w14:textId="77777777" w:rsidR="00CA6000" w:rsidRPr="003A7956" w:rsidRDefault="00CA6000" w:rsidP="002455A7">
                          <w:pPr>
                            <w:jc w:val="center"/>
                            <w:rPr>
                              <w:sz w:val="18"/>
                              <w:szCs w:val="18"/>
                            </w:rPr>
                          </w:pPr>
                          <w:r w:rsidRPr="003A7956">
                            <w:rPr>
                              <w:sz w:val="18"/>
                              <w:szCs w:val="18"/>
                            </w:rPr>
                            <w:t>COMPTOS</w:t>
                          </w:r>
                        </w:p>
                        <w:p w14:paraId="1A9638BC" w14:textId="77777777" w:rsidR="00CA6000" w:rsidRPr="003A7956" w:rsidRDefault="00CA6000" w:rsidP="002455A7">
                          <w:pPr>
                            <w:jc w:val="center"/>
                            <w:rPr>
                              <w:sz w:val="18"/>
                              <w:szCs w:val="18"/>
                            </w:rPr>
                          </w:pPr>
                          <w:r w:rsidRPr="003A7956">
                            <w:rPr>
                              <w:sz w:val="18"/>
                              <w:szCs w:val="18"/>
                            </w:rPr>
                            <w:t>DE NAVARRA</w:t>
                          </w:r>
                        </w:p>
                        <w:p w14:paraId="100B4FA4" w14:textId="77777777" w:rsidR="00CA6000" w:rsidRPr="003A7956" w:rsidRDefault="00CA6000" w:rsidP="002455A7">
                          <w:pPr>
                            <w:jc w:val="center"/>
                            <w:rPr>
                              <w:color w:val="808080"/>
                              <w:sz w:val="18"/>
                              <w:szCs w:val="18"/>
                            </w:rPr>
                          </w:pPr>
                          <w:r w:rsidRPr="003A7956">
                            <w:rPr>
                              <w:color w:val="808080"/>
                              <w:sz w:val="18"/>
                              <w:szCs w:val="18"/>
                            </w:rPr>
                            <w:t>NAFARROAKO</w:t>
                          </w:r>
                        </w:p>
                        <w:p w14:paraId="1CFAFF6A" w14:textId="77777777" w:rsidR="00CA6000" w:rsidRPr="003A7956" w:rsidRDefault="00CA6000" w:rsidP="002455A7">
                          <w:pPr>
                            <w:jc w:val="center"/>
                            <w:rPr>
                              <w:color w:val="808080"/>
                              <w:sz w:val="18"/>
                              <w:szCs w:val="18"/>
                            </w:rPr>
                          </w:pPr>
                          <w:r w:rsidRPr="003A7956">
                            <w:rPr>
                              <w:color w:val="808080"/>
                              <w:sz w:val="18"/>
                              <w:szCs w:val="18"/>
                            </w:rPr>
                            <w:t>KONTUEN</w:t>
                          </w:r>
                        </w:p>
                        <w:p w14:paraId="64254382" w14:textId="77777777" w:rsidR="00CA6000" w:rsidRPr="003A7956" w:rsidRDefault="00CA6000" w:rsidP="002455A7">
                          <w:pPr>
                            <w:jc w:val="center"/>
                            <w:rPr>
                              <w:color w:val="808080"/>
                              <w:sz w:val="18"/>
                              <w:szCs w:val="18"/>
                            </w:rPr>
                          </w:pPr>
                          <w:r w:rsidRPr="003A7956">
                            <w:rPr>
                              <w:color w:val="808080"/>
                              <w:sz w:val="18"/>
                              <w:szCs w:val="18"/>
                            </w:rPr>
                            <w:t>GANBERA</w:t>
                          </w:r>
                        </w:p>
                        <w:p w14:paraId="049BCB0D" w14:textId="77777777" w:rsidR="00CA6000" w:rsidRPr="002C7026" w:rsidRDefault="00CA6000" w:rsidP="002455A7">
                          <w:pPr>
                            <w:jc w:val="center"/>
                            <w:rPr>
                              <w:rFonts w:ascii="Trajan" w:hAnsi="Trajan"/>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EA0B8" id="_x0000_t202" coordsize="21600,21600" o:spt="202" path="m,l,21600r21600,l21600,xe">
              <v:stroke joinstyle="miter"/>
              <v:path gradientshapeok="t" o:connecttype="rect"/>
            </v:shapetype>
            <v:shape id="Text Box 7" o:spid="_x0000_s1026" type="#_x0000_t202" style="position:absolute;left:0;text-align:left;margin-left:-17.25pt;margin-top:46.45pt;width:87.0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" stroked="f" strokecolor="white">
              <v:textbox>
                <w:txbxContent>
                  <w:p w14:paraId="098AE3C4" w14:textId="77777777" w:rsidR="00CA6000" w:rsidRPr="003A7956" w:rsidRDefault="00CA6000" w:rsidP="002455A7">
                    <w:pPr>
                      <w:jc w:val="center"/>
                      <w:rPr>
                        <w:sz w:val="18"/>
                        <w:szCs w:val="18"/>
                      </w:rPr>
                    </w:pPr>
                    <w:r w:rsidRPr="003A7956">
                      <w:rPr>
                        <w:sz w:val="18"/>
                        <w:szCs w:val="18"/>
                      </w:rPr>
                      <w:t>CAMARA DE</w:t>
                    </w:r>
                  </w:p>
                  <w:p w14:paraId="30507B48" w14:textId="77777777" w:rsidR="00CA6000" w:rsidRPr="003A7956" w:rsidRDefault="00CA6000" w:rsidP="002455A7">
                    <w:pPr>
                      <w:jc w:val="center"/>
                      <w:rPr>
                        <w:sz w:val="18"/>
                        <w:szCs w:val="18"/>
                      </w:rPr>
                    </w:pPr>
                    <w:r w:rsidRPr="003A7956">
                      <w:rPr>
                        <w:sz w:val="18"/>
                        <w:szCs w:val="18"/>
                      </w:rPr>
                      <w:t>COMPTOS</w:t>
                    </w:r>
                  </w:p>
                  <w:p w14:paraId="1A9638BC" w14:textId="77777777" w:rsidR="00CA6000" w:rsidRPr="003A7956" w:rsidRDefault="00CA6000" w:rsidP="002455A7">
                    <w:pPr>
                      <w:jc w:val="center"/>
                      <w:rPr>
                        <w:sz w:val="18"/>
                        <w:szCs w:val="18"/>
                      </w:rPr>
                    </w:pPr>
                    <w:r w:rsidRPr="003A7956">
                      <w:rPr>
                        <w:sz w:val="18"/>
                        <w:szCs w:val="18"/>
                      </w:rPr>
                      <w:t>DE NAVARRA</w:t>
                    </w:r>
                  </w:p>
                  <w:p w14:paraId="100B4FA4" w14:textId="77777777" w:rsidR="00CA6000" w:rsidRPr="003A7956" w:rsidRDefault="00CA6000" w:rsidP="002455A7">
                    <w:pPr>
                      <w:jc w:val="center"/>
                      <w:rPr>
                        <w:color w:val="808080"/>
                        <w:sz w:val="18"/>
                        <w:szCs w:val="18"/>
                      </w:rPr>
                    </w:pPr>
                    <w:r w:rsidRPr="003A7956">
                      <w:rPr>
                        <w:color w:val="808080"/>
                        <w:sz w:val="18"/>
                        <w:szCs w:val="18"/>
                      </w:rPr>
                      <w:t>NAFARROAKO</w:t>
                    </w:r>
                  </w:p>
                  <w:p w14:paraId="1CFAFF6A" w14:textId="77777777" w:rsidR="00CA6000" w:rsidRPr="003A7956" w:rsidRDefault="00CA6000" w:rsidP="002455A7">
                    <w:pPr>
                      <w:jc w:val="center"/>
                      <w:rPr>
                        <w:color w:val="808080"/>
                        <w:sz w:val="18"/>
                        <w:szCs w:val="18"/>
                      </w:rPr>
                    </w:pPr>
                    <w:r w:rsidRPr="003A7956">
                      <w:rPr>
                        <w:color w:val="808080"/>
                        <w:sz w:val="18"/>
                        <w:szCs w:val="18"/>
                      </w:rPr>
                      <w:t>KONTUEN</w:t>
                    </w:r>
                  </w:p>
                  <w:p w14:paraId="64254382" w14:textId="77777777" w:rsidR="00CA6000" w:rsidRPr="003A7956" w:rsidRDefault="00CA6000" w:rsidP="002455A7">
                    <w:pPr>
                      <w:jc w:val="center"/>
                      <w:rPr>
                        <w:color w:val="808080"/>
                        <w:sz w:val="18"/>
                        <w:szCs w:val="18"/>
                      </w:rPr>
                    </w:pPr>
                    <w:r w:rsidRPr="003A7956">
                      <w:rPr>
                        <w:color w:val="808080"/>
                        <w:sz w:val="18"/>
                        <w:szCs w:val="18"/>
                      </w:rPr>
                      <w:t>GANBERA</w:t>
                    </w:r>
                  </w:p>
                  <w:p w14:paraId="049BCB0D" w14:textId="77777777" w:rsidR="00CA6000" w:rsidRPr="002C7026" w:rsidRDefault="00CA6000" w:rsidP="002455A7">
                    <w:pPr>
                      <w:jc w:val="center"/>
                      <w:rPr>
                        <w:rFonts w:ascii="Trajan" w:hAnsi="Trajan"/>
                        <w:color w:val="808080"/>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2FFD" w14:textId="16B8DC88" w:rsidR="00CA6000" w:rsidRPr="00B20D12" w:rsidRDefault="00CA6000" w:rsidP="005E3C11">
    <w:pPr>
      <w:pStyle w:val="Encabezado"/>
      <w:pBdr>
        <w:bottom w:val="single" w:sz="4" w:space="1" w:color="auto"/>
      </w:pBdr>
      <w:spacing w:after="40"/>
      <w:jc w:val="left"/>
      <w:rPr>
        <w:sz w:val="13"/>
        <w:szCs w:val="13"/>
      </w:rPr>
    </w:pPr>
    <w:r>
      <w:rPr>
        <w:noProof/>
      </w:rPr>
      <w:drawing>
        <wp:inline distT="0" distB="0" distL="0" distR="0" wp14:anchorId="2A23C72A" wp14:editId="399C7053">
          <wp:extent cx="511200" cy="511200"/>
          <wp:effectExtent l="0" t="0" r="317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PTOS_ESCUDO_COLOR_TRANSPARENTE_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00" cy="511200"/>
                  </a:xfrm>
                  <a:prstGeom prst="rect">
                    <a:avLst/>
                  </a:prstGeom>
                </pic:spPr>
              </pic:pic>
            </a:graphicData>
          </a:graphic>
        </wp:inline>
      </w:drawing>
    </w:r>
    <w:r>
      <w:rPr>
        <w:sz w:val="13"/>
        <w:szCs w:val="13"/>
      </w:rPr>
      <w:t xml:space="preserve"> INFORME de FISCALIZACIÓN SOBRE LA GESTIÓN DE LA RENTA GARANTIZADA Y SU IMPACTO EN EL EMPLEO (2019-2023)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0AD3" w14:textId="3C009FAC" w:rsidR="00CA6000" w:rsidRPr="00B20D12" w:rsidRDefault="00CA6000" w:rsidP="00A5045E">
    <w:pPr>
      <w:pStyle w:val="Encabezado"/>
      <w:pBdr>
        <w:bottom w:val="single" w:sz="4" w:space="1" w:color="auto"/>
      </w:pBdr>
      <w:spacing w:after="40"/>
      <w:jc w:val="left"/>
      <w:rPr>
        <w:sz w:val="13"/>
        <w:szCs w:val="13"/>
      </w:rPr>
    </w:pPr>
    <w:r>
      <w:rPr>
        <w:noProof/>
      </w:rPr>
      <w:drawing>
        <wp:inline distT="0" distB="0" distL="0" distR="0" wp14:anchorId="22F6F7EE" wp14:editId="7792345C">
          <wp:extent cx="511200" cy="511200"/>
          <wp:effectExtent l="0" t="0" r="3175"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PTOS_ESCUDO_COLOR_TRANSPARENTE_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00" cy="511200"/>
                  </a:xfrm>
                  <a:prstGeom prst="rect">
                    <a:avLst/>
                  </a:prstGeom>
                </pic:spPr>
              </pic:pic>
            </a:graphicData>
          </a:graphic>
        </wp:inline>
      </w:drawing>
    </w:r>
    <w:r>
      <w:rPr>
        <w:sz w:val="13"/>
        <w:szCs w:val="13"/>
      </w:rPr>
      <w:t xml:space="preserve"> INFORME de FISCALIZACIÓN SOBRE/ LA GESTIÓN DE LA RENTA GARANTIZADA Y SU IMPACTO EN EL EMPLEO (2019-2023)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8705" w14:textId="77777777" w:rsidR="00DD538F" w:rsidRPr="00B20D12" w:rsidRDefault="00DD538F" w:rsidP="00A5045E">
    <w:pPr>
      <w:pStyle w:val="Encabezado"/>
      <w:pBdr>
        <w:bottom w:val="single" w:sz="4" w:space="1" w:color="auto"/>
      </w:pBdr>
      <w:spacing w:after="40"/>
      <w:jc w:val="left"/>
      <w:rPr>
        <w:sz w:val="13"/>
        <w:szCs w:val="13"/>
      </w:rPr>
    </w:pPr>
    <w:r>
      <w:rPr>
        <w:noProof/>
      </w:rPr>
      <w:drawing>
        <wp:inline distT="0" distB="0" distL="0" distR="0" wp14:anchorId="1559AA81" wp14:editId="2BEEC89E">
          <wp:extent cx="511200" cy="511200"/>
          <wp:effectExtent l="0" t="0" r="3175"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MPTOS_ESCUDO_COLOR_TRANSPARENTE_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200" cy="511200"/>
                  </a:xfrm>
                  <a:prstGeom prst="rect">
                    <a:avLst/>
                  </a:prstGeom>
                </pic:spPr>
              </pic:pic>
            </a:graphicData>
          </a:graphic>
        </wp:inline>
      </w:drawing>
    </w:r>
    <w:r>
      <w:rPr>
        <w:sz w:val="13"/>
        <w:szCs w:val="13"/>
      </w:rPr>
      <w:t xml:space="preserve"> INFORME de FISCALIZACIÓN SOBRE/ LA GESTIÓN DE LA RENTA GARANTIZADA Y SU IMPACTO EN EL EMPLEO (2019-2023)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2" w15:restartNumberingAfterBreak="0">
    <w:nsid w:val="02CD0F41"/>
    <w:multiLevelType w:val="hybridMultilevel"/>
    <w:tmpl w:val="CAA0F93E"/>
    <w:lvl w:ilvl="0" w:tplc="FD2C085E">
      <w:start w:val="1"/>
      <w:numFmt w:val="lowerLetter"/>
      <w:lvlText w:val="%1."/>
      <w:lvlJc w:val="left"/>
      <w:pPr>
        <w:ind w:left="144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044CC1"/>
    <w:multiLevelType w:val="hybridMultilevel"/>
    <w:tmpl w:val="81E25D7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70A47A3"/>
    <w:multiLevelType w:val="multilevel"/>
    <w:tmpl w:val="1266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F071BA"/>
    <w:multiLevelType w:val="hybridMultilevel"/>
    <w:tmpl w:val="5D5A9E10"/>
    <w:lvl w:ilvl="0" w:tplc="FD2C085E">
      <w:start w:val="1"/>
      <w:numFmt w:val="lowerLetter"/>
      <w:lvlText w:val="%1."/>
      <w:lvlJc w:val="left"/>
      <w:pPr>
        <w:ind w:left="144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3679DF"/>
    <w:multiLevelType w:val="hybridMultilevel"/>
    <w:tmpl w:val="B66E500E"/>
    <w:lvl w:ilvl="0" w:tplc="717ADA1E">
      <w:start w:val="1"/>
      <w:numFmt w:val="lowerLetter"/>
      <w:lvlText w:val="%1)"/>
      <w:lvlJc w:val="left"/>
      <w:pPr>
        <w:ind w:left="144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573E01"/>
    <w:multiLevelType w:val="hybridMultilevel"/>
    <w:tmpl w:val="360A73E2"/>
    <w:lvl w:ilvl="0" w:tplc="FFFFFFFF">
      <w:start w:val="1"/>
      <w:numFmt w:val="bullet"/>
      <w:lvlText w:val=""/>
      <w:lvlJc w:val="left"/>
      <w:pPr>
        <w:ind w:left="720" w:hanging="360"/>
      </w:pPr>
      <w:rPr>
        <w:rFonts w:ascii="Symbol" w:hAnsi="Symbol" w:hint="default"/>
        <w:color w:val="auto"/>
      </w:rPr>
    </w:lvl>
    <w:lvl w:ilvl="1" w:tplc="0C0A0017">
      <w:start w:val="1"/>
      <w:numFmt w:val="lowerLetter"/>
      <w:lvlText w:val="%2)"/>
      <w:lvlJc w:val="left"/>
      <w:pPr>
        <w:ind w:left="1440" w:hanging="360"/>
      </w:pPr>
      <w:rPr>
        <w:rFonts w:hint="default"/>
        <w:b w:val="0"/>
        <w:color w:val="auto"/>
      </w:rPr>
    </w:lvl>
    <w:lvl w:ilvl="2" w:tplc="6E9A851C">
      <w:start w:val="1"/>
      <w:numFmt w:val="lowerLetter"/>
      <w:lvlText w:val="%3)"/>
      <w:lvlJc w:val="left"/>
      <w:pPr>
        <w:ind w:left="2160" w:hanging="360"/>
      </w:pPr>
      <w:rPr>
        <w:rFonts w:hint="default"/>
      </w:rPr>
    </w:lvl>
    <w:lvl w:ilvl="3" w:tplc="05945786">
      <w:start w:val="1"/>
      <w:numFmt w:val="decimal"/>
      <w:lvlText w:val="%4."/>
      <w:lvlJc w:val="left"/>
      <w:pPr>
        <w:ind w:left="2880" w:hanging="360"/>
      </w:pPr>
      <w:rPr>
        <w:rFonts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0F41E1A"/>
    <w:multiLevelType w:val="hybridMultilevel"/>
    <w:tmpl w:val="1188ED06"/>
    <w:lvl w:ilvl="0" w:tplc="FFFFFFFF">
      <w:start w:val="1"/>
      <w:numFmt w:val="bullet"/>
      <w:lvlText w:val=""/>
      <w:lvlJc w:val="left"/>
      <w:pPr>
        <w:ind w:left="1004" w:hanging="360"/>
      </w:pPr>
      <w:rPr>
        <w:rFonts w:ascii="Symbol" w:hAnsi="Symbol" w:hint="default"/>
        <w:color w:val="auto"/>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0" w15:restartNumberingAfterBreak="0">
    <w:nsid w:val="152446B6"/>
    <w:multiLevelType w:val="hybridMultilevel"/>
    <w:tmpl w:val="961ADE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7515D8"/>
    <w:multiLevelType w:val="multilevel"/>
    <w:tmpl w:val="68B6A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A370DE"/>
    <w:multiLevelType w:val="hybridMultilevel"/>
    <w:tmpl w:val="66DC65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2561E0"/>
    <w:multiLevelType w:val="hybridMultilevel"/>
    <w:tmpl w:val="9EA0FD2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19504107"/>
    <w:multiLevelType w:val="hybridMultilevel"/>
    <w:tmpl w:val="0478BDD8"/>
    <w:lvl w:ilvl="0" w:tplc="13B08DB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1DDB0839"/>
    <w:multiLevelType w:val="multilevel"/>
    <w:tmpl w:val="6392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C17F29"/>
    <w:multiLevelType w:val="multilevel"/>
    <w:tmpl w:val="4DCE653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7C206A0"/>
    <w:multiLevelType w:val="multilevel"/>
    <w:tmpl w:val="CD3C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902372"/>
    <w:multiLevelType w:val="hybridMultilevel"/>
    <w:tmpl w:val="111A600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15:restartNumberingAfterBreak="0">
    <w:nsid w:val="2C6022FA"/>
    <w:multiLevelType w:val="hybridMultilevel"/>
    <w:tmpl w:val="EEA0352A"/>
    <w:lvl w:ilvl="0" w:tplc="FFFFFFFF">
      <w:start w:val="1"/>
      <w:numFmt w:val="bullet"/>
      <w:lvlText w:val=""/>
      <w:lvlJc w:val="left"/>
      <w:pPr>
        <w:ind w:left="1004" w:hanging="360"/>
      </w:pPr>
      <w:rPr>
        <w:rFonts w:ascii="Symbol" w:hAnsi="Symbol" w:hint="default"/>
        <w:color w:val="auto"/>
      </w:rPr>
    </w:lvl>
    <w:lvl w:ilvl="1" w:tplc="0C0A0017">
      <w:start w:val="1"/>
      <w:numFmt w:val="lowerLetter"/>
      <w:lvlText w:val="%2)"/>
      <w:lvlJc w:val="left"/>
      <w:pPr>
        <w:ind w:left="1724" w:hanging="360"/>
      </w:pPr>
      <w:rPr>
        <w:rFont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31ED1EAC"/>
    <w:multiLevelType w:val="hybridMultilevel"/>
    <w:tmpl w:val="C5000A52"/>
    <w:lvl w:ilvl="0" w:tplc="C5C0CE5A">
      <w:start w:val="1"/>
      <w:numFmt w:val="bullet"/>
      <w:lvlText w:val=""/>
      <w:lvlJc w:val="left"/>
      <w:pPr>
        <w:ind w:left="1795" w:hanging="360"/>
      </w:pPr>
      <w:rPr>
        <w:rFonts w:ascii="Symbol" w:hAnsi="Symbol" w:hint="default"/>
      </w:rPr>
    </w:lvl>
    <w:lvl w:ilvl="1" w:tplc="0C0A0003" w:tentative="1">
      <w:start w:val="1"/>
      <w:numFmt w:val="bullet"/>
      <w:lvlText w:val="o"/>
      <w:lvlJc w:val="left"/>
      <w:pPr>
        <w:ind w:left="2515" w:hanging="360"/>
      </w:pPr>
      <w:rPr>
        <w:rFonts w:ascii="Courier New" w:hAnsi="Courier New" w:cs="Courier New" w:hint="default"/>
      </w:rPr>
    </w:lvl>
    <w:lvl w:ilvl="2" w:tplc="0C0A0005" w:tentative="1">
      <w:start w:val="1"/>
      <w:numFmt w:val="bullet"/>
      <w:lvlText w:val=""/>
      <w:lvlJc w:val="left"/>
      <w:pPr>
        <w:ind w:left="3235" w:hanging="360"/>
      </w:pPr>
      <w:rPr>
        <w:rFonts w:ascii="Wingdings" w:hAnsi="Wingdings" w:hint="default"/>
      </w:rPr>
    </w:lvl>
    <w:lvl w:ilvl="3" w:tplc="0C0A0001" w:tentative="1">
      <w:start w:val="1"/>
      <w:numFmt w:val="bullet"/>
      <w:lvlText w:val=""/>
      <w:lvlJc w:val="left"/>
      <w:pPr>
        <w:ind w:left="3955" w:hanging="360"/>
      </w:pPr>
      <w:rPr>
        <w:rFonts w:ascii="Symbol" w:hAnsi="Symbol" w:hint="default"/>
      </w:rPr>
    </w:lvl>
    <w:lvl w:ilvl="4" w:tplc="0C0A0003" w:tentative="1">
      <w:start w:val="1"/>
      <w:numFmt w:val="bullet"/>
      <w:lvlText w:val="o"/>
      <w:lvlJc w:val="left"/>
      <w:pPr>
        <w:ind w:left="4675" w:hanging="360"/>
      </w:pPr>
      <w:rPr>
        <w:rFonts w:ascii="Courier New" w:hAnsi="Courier New" w:cs="Courier New" w:hint="default"/>
      </w:rPr>
    </w:lvl>
    <w:lvl w:ilvl="5" w:tplc="0C0A0005" w:tentative="1">
      <w:start w:val="1"/>
      <w:numFmt w:val="bullet"/>
      <w:lvlText w:val=""/>
      <w:lvlJc w:val="left"/>
      <w:pPr>
        <w:ind w:left="5395" w:hanging="360"/>
      </w:pPr>
      <w:rPr>
        <w:rFonts w:ascii="Wingdings" w:hAnsi="Wingdings" w:hint="default"/>
      </w:rPr>
    </w:lvl>
    <w:lvl w:ilvl="6" w:tplc="0C0A0001" w:tentative="1">
      <w:start w:val="1"/>
      <w:numFmt w:val="bullet"/>
      <w:lvlText w:val=""/>
      <w:lvlJc w:val="left"/>
      <w:pPr>
        <w:ind w:left="6115" w:hanging="360"/>
      </w:pPr>
      <w:rPr>
        <w:rFonts w:ascii="Symbol" w:hAnsi="Symbol" w:hint="default"/>
      </w:rPr>
    </w:lvl>
    <w:lvl w:ilvl="7" w:tplc="0C0A0003" w:tentative="1">
      <w:start w:val="1"/>
      <w:numFmt w:val="bullet"/>
      <w:lvlText w:val="o"/>
      <w:lvlJc w:val="left"/>
      <w:pPr>
        <w:ind w:left="6835" w:hanging="360"/>
      </w:pPr>
      <w:rPr>
        <w:rFonts w:ascii="Courier New" w:hAnsi="Courier New" w:cs="Courier New" w:hint="default"/>
      </w:rPr>
    </w:lvl>
    <w:lvl w:ilvl="8" w:tplc="0C0A0005" w:tentative="1">
      <w:start w:val="1"/>
      <w:numFmt w:val="bullet"/>
      <w:lvlText w:val=""/>
      <w:lvlJc w:val="left"/>
      <w:pPr>
        <w:ind w:left="7555" w:hanging="360"/>
      </w:pPr>
      <w:rPr>
        <w:rFonts w:ascii="Wingdings" w:hAnsi="Wingdings" w:hint="default"/>
      </w:rPr>
    </w:lvl>
  </w:abstractNum>
  <w:abstractNum w:abstractNumId="21" w15:restartNumberingAfterBreak="0">
    <w:nsid w:val="31F24428"/>
    <w:multiLevelType w:val="hybridMultilevel"/>
    <w:tmpl w:val="5EE298C4"/>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3357516C"/>
    <w:multiLevelType w:val="hybridMultilevel"/>
    <w:tmpl w:val="31B2C326"/>
    <w:lvl w:ilvl="0" w:tplc="3894E68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7D6A5E"/>
    <w:multiLevelType w:val="multilevel"/>
    <w:tmpl w:val="BC2C930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3A063726"/>
    <w:multiLevelType w:val="hybridMultilevel"/>
    <w:tmpl w:val="196EE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CAB3CE9"/>
    <w:multiLevelType w:val="hybridMultilevel"/>
    <w:tmpl w:val="FB404C06"/>
    <w:lvl w:ilvl="0" w:tplc="0C0A0001">
      <w:start w:val="1"/>
      <w:numFmt w:val="bullet"/>
      <w:lvlText w:val=""/>
      <w:lvlJc w:val="left"/>
      <w:pPr>
        <w:ind w:left="1059" w:hanging="360"/>
      </w:pPr>
      <w:rPr>
        <w:rFonts w:ascii="Symbol" w:hAnsi="Symbol" w:hint="default"/>
      </w:rPr>
    </w:lvl>
    <w:lvl w:ilvl="1" w:tplc="0C0A0003" w:tentative="1">
      <w:start w:val="1"/>
      <w:numFmt w:val="bullet"/>
      <w:lvlText w:val="o"/>
      <w:lvlJc w:val="left"/>
      <w:pPr>
        <w:ind w:left="1779" w:hanging="360"/>
      </w:pPr>
      <w:rPr>
        <w:rFonts w:ascii="Courier New" w:hAnsi="Courier New" w:cs="Courier New" w:hint="default"/>
      </w:rPr>
    </w:lvl>
    <w:lvl w:ilvl="2" w:tplc="0C0A0005" w:tentative="1">
      <w:start w:val="1"/>
      <w:numFmt w:val="bullet"/>
      <w:lvlText w:val=""/>
      <w:lvlJc w:val="left"/>
      <w:pPr>
        <w:ind w:left="2499" w:hanging="360"/>
      </w:pPr>
      <w:rPr>
        <w:rFonts w:ascii="Wingdings" w:hAnsi="Wingdings" w:hint="default"/>
      </w:rPr>
    </w:lvl>
    <w:lvl w:ilvl="3" w:tplc="0C0A0001" w:tentative="1">
      <w:start w:val="1"/>
      <w:numFmt w:val="bullet"/>
      <w:lvlText w:val=""/>
      <w:lvlJc w:val="left"/>
      <w:pPr>
        <w:ind w:left="3219" w:hanging="360"/>
      </w:pPr>
      <w:rPr>
        <w:rFonts w:ascii="Symbol" w:hAnsi="Symbol" w:hint="default"/>
      </w:rPr>
    </w:lvl>
    <w:lvl w:ilvl="4" w:tplc="0C0A0003" w:tentative="1">
      <w:start w:val="1"/>
      <w:numFmt w:val="bullet"/>
      <w:lvlText w:val="o"/>
      <w:lvlJc w:val="left"/>
      <w:pPr>
        <w:ind w:left="3939" w:hanging="360"/>
      </w:pPr>
      <w:rPr>
        <w:rFonts w:ascii="Courier New" w:hAnsi="Courier New" w:cs="Courier New" w:hint="default"/>
      </w:rPr>
    </w:lvl>
    <w:lvl w:ilvl="5" w:tplc="0C0A0005" w:tentative="1">
      <w:start w:val="1"/>
      <w:numFmt w:val="bullet"/>
      <w:lvlText w:val=""/>
      <w:lvlJc w:val="left"/>
      <w:pPr>
        <w:ind w:left="4659" w:hanging="360"/>
      </w:pPr>
      <w:rPr>
        <w:rFonts w:ascii="Wingdings" w:hAnsi="Wingdings" w:hint="default"/>
      </w:rPr>
    </w:lvl>
    <w:lvl w:ilvl="6" w:tplc="0C0A0001" w:tentative="1">
      <w:start w:val="1"/>
      <w:numFmt w:val="bullet"/>
      <w:lvlText w:val=""/>
      <w:lvlJc w:val="left"/>
      <w:pPr>
        <w:ind w:left="5379" w:hanging="360"/>
      </w:pPr>
      <w:rPr>
        <w:rFonts w:ascii="Symbol" w:hAnsi="Symbol" w:hint="default"/>
      </w:rPr>
    </w:lvl>
    <w:lvl w:ilvl="7" w:tplc="0C0A0003" w:tentative="1">
      <w:start w:val="1"/>
      <w:numFmt w:val="bullet"/>
      <w:lvlText w:val="o"/>
      <w:lvlJc w:val="left"/>
      <w:pPr>
        <w:ind w:left="6099" w:hanging="360"/>
      </w:pPr>
      <w:rPr>
        <w:rFonts w:ascii="Courier New" w:hAnsi="Courier New" w:cs="Courier New" w:hint="default"/>
      </w:rPr>
    </w:lvl>
    <w:lvl w:ilvl="8" w:tplc="0C0A0005" w:tentative="1">
      <w:start w:val="1"/>
      <w:numFmt w:val="bullet"/>
      <w:lvlText w:val=""/>
      <w:lvlJc w:val="left"/>
      <w:pPr>
        <w:ind w:left="6819" w:hanging="360"/>
      </w:pPr>
      <w:rPr>
        <w:rFonts w:ascii="Wingdings" w:hAnsi="Wingdings" w:hint="default"/>
      </w:rPr>
    </w:lvl>
  </w:abstractNum>
  <w:abstractNum w:abstractNumId="26" w15:restartNumberingAfterBreak="0">
    <w:nsid w:val="3DF46CF8"/>
    <w:multiLevelType w:val="multilevel"/>
    <w:tmpl w:val="53EC181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3FDF136F"/>
    <w:multiLevelType w:val="hybridMultilevel"/>
    <w:tmpl w:val="5A109F26"/>
    <w:lvl w:ilvl="0" w:tplc="0C0A000F">
      <w:start w:val="1"/>
      <w:numFmt w:val="decimal"/>
      <w:lvlText w:val="%1."/>
      <w:lvlJc w:val="left"/>
      <w:pPr>
        <w:ind w:left="144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29336B5"/>
    <w:multiLevelType w:val="hybridMultilevel"/>
    <w:tmpl w:val="CBECB6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29EF1C3"/>
    <w:multiLevelType w:val="hybridMultilevel"/>
    <w:tmpl w:val="B07E5C04"/>
    <w:lvl w:ilvl="0" w:tplc="63A88966">
      <w:start w:val="1"/>
      <w:numFmt w:val="bullet"/>
      <w:lvlText w:val=""/>
      <w:lvlJc w:val="left"/>
      <w:pPr>
        <w:ind w:left="933" w:hanging="360"/>
      </w:pPr>
      <w:rPr>
        <w:rFonts w:ascii="Symbol" w:hAnsi="Symbol" w:hint="default"/>
      </w:rPr>
    </w:lvl>
    <w:lvl w:ilvl="1" w:tplc="92100304">
      <w:start w:val="1"/>
      <w:numFmt w:val="bullet"/>
      <w:lvlText w:val="o"/>
      <w:lvlJc w:val="left"/>
      <w:pPr>
        <w:ind w:left="1653" w:hanging="360"/>
      </w:pPr>
      <w:rPr>
        <w:rFonts w:ascii="Courier New" w:hAnsi="Courier New" w:hint="default"/>
      </w:rPr>
    </w:lvl>
    <w:lvl w:ilvl="2" w:tplc="17E6175C">
      <w:start w:val="1"/>
      <w:numFmt w:val="bullet"/>
      <w:lvlText w:val=""/>
      <w:lvlJc w:val="left"/>
      <w:pPr>
        <w:ind w:left="2373" w:hanging="360"/>
      </w:pPr>
      <w:rPr>
        <w:rFonts w:ascii="Wingdings" w:hAnsi="Wingdings" w:hint="default"/>
      </w:rPr>
    </w:lvl>
    <w:lvl w:ilvl="3" w:tplc="78E09B10">
      <w:start w:val="1"/>
      <w:numFmt w:val="bullet"/>
      <w:lvlText w:val=""/>
      <w:lvlJc w:val="left"/>
      <w:pPr>
        <w:ind w:left="3093" w:hanging="360"/>
      </w:pPr>
      <w:rPr>
        <w:rFonts w:ascii="Symbol" w:hAnsi="Symbol" w:hint="default"/>
      </w:rPr>
    </w:lvl>
    <w:lvl w:ilvl="4" w:tplc="51F238CE">
      <w:start w:val="1"/>
      <w:numFmt w:val="bullet"/>
      <w:lvlText w:val="o"/>
      <w:lvlJc w:val="left"/>
      <w:pPr>
        <w:ind w:left="3813" w:hanging="360"/>
      </w:pPr>
      <w:rPr>
        <w:rFonts w:ascii="Courier New" w:hAnsi="Courier New" w:hint="default"/>
      </w:rPr>
    </w:lvl>
    <w:lvl w:ilvl="5" w:tplc="A44C9AD6">
      <w:start w:val="1"/>
      <w:numFmt w:val="bullet"/>
      <w:lvlText w:val=""/>
      <w:lvlJc w:val="left"/>
      <w:pPr>
        <w:ind w:left="4533" w:hanging="360"/>
      </w:pPr>
      <w:rPr>
        <w:rFonts w:ascii="Wingdings" w:hAnsi="Wingdings" w:hint="default"/>
      </w:rPr>
    </w:lvl>
    <w:lvl w:ilvl="6" w:tplc="7D5EE670">
      <w:start w:val="1"/>
      <w:numFmt w:val="bullet"/>
      <w:lvlText w:val=""/>
      <w:lvlJc w:val="left"/>
      <w:pPr>
        <w:ind w:left="5253" w:hanging="360"/>
      </w:pPr>
      <w:rPr>
        <w:rFonts w:ascii="Symbol" w:hAnsi="Symbol" w:hint="default"/>
      </w:rPr>
    </w:lvl>
    <w:lvl w:ilvl="7" w:tplc="07D28478">
      <w:start w:val="1"/>
      <w:numFmt w:val="bullet"/>
      <w:lvlText w:val="o"/>
      <w:lvlJc w:val="left"/>
      <w:pPr>
        <w:ind w:left="5973" w:hanging="360"/>
      </w:pPr>
      <w:rPr>
        <w:rFonts w:ascii="Courier New" w:hAnsi="Courier New" w:hint="default"/>
      </w:rPr>
    </w:lvl>
    <w:lvl w:ilvl="8" w:tplc="51D27F84">
      <w:start w:val="1"/>
      <w:numFmt w:val="bullet"/>
      <w:lvlText w:val=""/>
      <w:lvlJc w:val="left"/>
      <w:pPr>
        <w:ind w:left="6693" w:hanging="360"/>
      </w:pPr>
      <w:rPr>
        <w:rFonts w:ascii="Wingdings" w:hAnsi="Wingdings" w:hint="default"/>
      </w:rPr>
    </w:lvl>
  </w:abstractNum>
  <w:abstractNum w:abstractNumId="30" w15:restartNumberingAfterBreak="0">
    <w:nsid w:val="44EE159D"/>
    <w:multiLevelType w:val="hybridMultilevel"/>
    <w:tmpl w:val="CF30F386"/>
    <w:lvl w:ilvl="0" w:tplc="FD2C085E">
      <w:start w:val="1"/>
      <w:numFmt w:val="lowerLetter"/>
      <w:lvlText w:val="%1."/>
      <w:lvlJc w:val="left"/>
      <w:pPr>
        <w:ind w:left="144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66A084B"/>
    <w:multiLevelType w:val="multilevel"/>
    <w:tmpl w:val="AEE6623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46F10503"/>
    <w:multiLevelType w:val="hybridMultilevel"/>
    <w:tmpl w:val="72AC9A0C"/>
    <w:lvl w:ilvl="0" w:tplc="363638A2">
      <w:start w:val="1"/>
      <w:numFmt w:val="lowerLetter"/>
      <w:lvlText w:val="%1)"/>
      <w:lvlJc w:val="left"/>
      <w:pPr>
        <w:ind w:left="928" w:hanging="360"/>
      </w:pPr>
    </w:lvl>
    <w:lvl w:ilvl="1" w:tplc="FDB0CD7C">
      <w:start w:val="1"/>
      <w:numFmt w:val="lowerLetter"/>
      <w:lvlText w:val="%2."/>
      <w:lvlJc w:val="left"/>
      <w:pPr>
        <w:ind w:left="1648" w:hanging="360"/>
      </w:pPr>
    </w:lvl>
    <w:lvl w:ilvl="2" w:tplc="87EE2E42">
      <w:start w:val="1"/>
      <w:numFmt w:val="lowerRoman"/>
      <w:lvlText w:val="%3."/>
      <w:lvlJc w:val="right"/>
      <w:pPr>
        <w:ind w:left="2368" w:hanging="180"/>
      </w:pPr>
    </w:lvl>
    <w:lvl w:ilvl="3" w:tplc="ED00D682">
      <w:start w:val="1"/>
      <w:numFmt w:val="decimal"/>
      <w:lvlText w:val="%4."/>
      <w:lvlJc w:val="left"/>
      <w:pPr>
        <w:ind w:left="3088" w:hanging="360"/>
      </w:pPr>
    </w:lvl>
    <w:lvl w:ilvl="4" w:tplc="F05ED342">
      <w:start w:val="1"/>
      <w:numFmt w:val="lowerLetter"/>
      <w:lvlText w:val="%5."/>
      <w:lvlJc w:val="left"/>
      <w:pPr>
        <w:ind w:left="3808" w:hanging="360"/>
      </w:pPr>
    </w:lvl>
    <w:lvl w:ilvl="5" w:tplc="05724F8E">
      <w:start w:val="1"/>
      <w:numFmt w:val="lowerRoman"/>
      <w:lvlText w:val="%6."/>
      <w:lvlJc w:val="right"/>
      <w:pPr>
        <w:ind w:left="4528" w:hanging="180"/>
      </w:pPr>
    </w:lvl>
    <w:lvl w:ilvl="6" w:tplc="6C80C444">
      <w:start w:val="1"/>
      <w:numFmt w:val="decimal"/>
      <w:lvlText w:val="%7."/>
      <w:lvlJc w:val="left"/>
      <w:pPr>
        <w:ind w:left="5248" w:hanging="360"/>
      </w:pPr>
    </w:lvl>
    <w:lvl w:ilvl="7" w:tplc="E22A0214">
      <w:start w:val="1"/>
      <w:numFmt w:val="lowerLetter"/>
      <w:lvlText w:val="%8."/>
      <w:lvlJc w:val="left"/>
      <w:pPr>
        <w:ind w:left="5968" w:hanging="360"/>
      </w:pPr>
    </w:lvl>
    <w:lvl w:ilvl="8" w:tplc="FDA071E6">
      <w:start w:val="1"/>
      <w:numFmt w:val="lowerRoman"/>
      <w:lvlText w:val="%9."/>
      <w:lvlJc w:val="right"/>
      <w:pPr>
        <w:ind w:left="6688" w:hanging="180"/>
      </w:pPr>
    </w:lvl>
  </w:abstractNum>
  <w:abstractNum w:abstractNumId="33" w15:restartNumberingAfterBreak="0">
    <w:nsid w:val="495C1B19"/>
    <w:multiLevelType w:val="hybridMultilevel"/>
    <w:tmpl w:val="960823EA"/>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A9F0C01"/>
    <w:multiLevelType w:val="hybridMultilevel"/>
    <w:tmpl w:val="6B807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AD46374"/>
    <w:multiLevelType w:val="hybridMultilevel"/>
    <w:tmpl w:val="2C5E6EB8"/>
    <w:lvl w:ilvl="0" w:tplc="C5C0CE5A">
      <w:start w:val="1"/>
      <w:numFmt w:val="bullet"/>
      <w:lvlText w:val=""/>
      <w:lvlJc w:val="left"/>
      <w:pPr>
        <w:ind w:left="1819" w:hanging="360"/>
      </w:pPr>
      <w:rPr>
        <w:rFonts w:ascii="Symbol" w:hAnsi="Symbol" w:hint="default"/>
      </w:rPr>
    </w:lvl>
    <w:lvl w:ilvl="1" w:tplc="0C0A0003" w:tentative="1">
      <w:start w:val="1"/>
      <w:numFmt w:val="bullet"/>
      <w:lvlText w:val="o"/>
      <w:lvlJc w:val="left"/>
      <w:pPr>
        <w:ind w:left="2539" w:hanging="360"/>
      </w:pPr>
      <w:rPr>
        <w:rFonts w:ascii="Courier New" w:hAnsi="Courier New" w:cs="Courier New" w:hint="default"/>
      </w:rPr>
    </w:lvl>
    <w:lvl w:ilvl="2" w:tplc="0C0A0005" w:tentative="1">
      <w:start w:val="1"/>
      <w:numFmt w:val="bullet"/>
      <w:lvlText w:val=""/>
      <w:lvlJc w:val="left"/>
      <w:pPr>
        <w:ind w:left="3259" w:hanging="360"/>
      </w:pPr>
      <w:rPr>
        <w:rFonts w:ascii="Wingdings" w:hAnsi="Wingdings" w:hint="default"/>
      </w:rPr>
    </w:lvl>
    <w:lvl w:ilvl="3" w:tplc="0C0A0001" w:tentative="1">
      <w:start w:val="1"/>
      <w:numFmt w:val="bullet"/>
      <w:lvlText w:val=""/>
      <w:lvlJc w:val="left"/>
      <w:pPr>
        <w:ind w:left="3979" w:hanging="360"/>
      </w:pPr>
      <w:rPr>
        <w:rFonts w:ascii="Symbol" w:hAnsi="Symbol" w:hint="default"/>
      </w:rPr>
    </w:lvl>
    <w:lvl w:ilvl="4" w:tplc="0C0A0003" w:tentative="1">
      <w:start w:val="1"/>
      <w:numFmt w:val="bullet"/>
      <w:lvlText w:val="o"/>
      <w:lvlJc w:val="left"/>
      <w:pPr>
        <w:ind w:left="4699" w:hanging="360"/>
      </w:pPr>
      <w:rPr>
        <w:rFonts w:ascii="Courier New" w:hAnsi="Courier New" w:cs="Courier New" w:hint="default"/>
      </w:rPr>
    </w:lvl>
    <w:lvl w:ilvl="5" w:tplc="0C0A0005" w:tentative="1">
      <w:start w:val="1"/>
      <w:numFmt w:val="bullet"/>
      <w:lvlText w:val=""/>
      <w:lvlJc w:val="left"/>
      <w:pPr>
        <w:ind w:left="5419" w:hanging="360"/>
      </w:pPr>
      <w:rPr>
        <w:rFonts w:ascii="Wingdings" w:hAnsi="Wingdings" w:hint="default"/>
      </w:rPr>
    </w:lvl>
    <w:lvl w:ilvl="6" w:tplc="0C0A0001" w:tentative="1">
      <w:start w:val="1"/>
      <w:numFmt w:val="bullet"/>
      <w:lvlText w:val=""/>
      <w:lvlJc w:val="left"/>
      <w:pPr>
        <w:ind w:left="6139" w:hanging="360"/>
      </w:pPr>
      <w:rPr>
        <w:rFonts w:ascii="Symbol" w:hAnsi="Symbol" w:hint="default"/>
      </w:rPr>
    </w:lvl>
    <w:lvl w:ilvl="7" w:tplc="0C0A0003" w:tentative="1">
      <w:start w:val="1"/>
      <w:numFmt w:val="bullet"/>
      <w:lvlText w:val="o"/>
      <w:lvlJc w:val="left"/>
      <w:pPr>
        <w:ind w:left="6859" w:hanging="360"/>
      </w:pPr>
      <w:rPr>
        <w:rFonts w:ascii="Courier New" w:hAnsi="Courier New" w:cs="Courier New" w:hint="default"/>
      </w:rPr>
    </w:lvl>
    <w:lvl w:ilvl="8" w:tplc="0C0A0005" w:tentative="1">
      <w:start w:val="1"/>
      <w:numFmt w:val="bullet"/>
      <w:lvlText w:val=""/>
      <w:lvlJc w:val="left"/>
      <w:pPr>
        <w:ind w:left="7579" w:hanging="360"/>
      </w:pPr>
      <w:rPr>
        <w:rFonts w:ascii="Wingdings" w:hAnsi="Wingdings" w:hint="default"/>
      </w:rPr>
    </w:lvl>
  </w:abstractNum>
  <w:abstractNum w:abstractNumId="36" w15:restartNumberingAfterBreak="0">
    <w:nsid w:val="4BF82BA0"/>
    <w:multiLevelType w:val="hybridMultilevel"/>
    <w:tmpl w:val="C59A5820"/>
    <w:lvl w:ilvl="0" w:tplc="F43C38B8">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0A63CD8"/>
    <w:multiLevelType w:val="hybridMultilevel"/>
    <w:tmpl w:val="A3B85F70"/>
    <w:lvl w:ilvl="0" w:tplc="0C0A0001">
      <w:start w:val="1"/>
      <w:numFmt w:val="bullet"/>
      <w:lvlText w:val=""/>
      <w:lvlJc w:val="left"/>
      <w:pPr>
        <w:ind w:left="1004" w:hanging="360"/>
      </w:pPr>
      <w:rPr>
        <w:rFonts w:ascii="Symbol" w:hAnsi="Symbol" w:hint="default"/>
      </w:rPr>
    </w:lvl>
    <w:lvl w:ilvl="1" w:tplc="ABB27AEC">
      <w:numFmt w:val="bullet"/>
      <w:lvlText w:val="-"/>
      <w:lvlJc w:val="left"/>
      <w:pPr>
        <w:ind w:left="1724" w:hanging="360"/>
      </w:pPr>
      <w:rPr>
        <w:rFonts w:ascii="Times New Roman" w:eastAsia="Calibri" w:hAnsi="Times New Roman" w:cs="Times New Roman"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8" w15:restartNumberingAfterBreak="0">
    <w:nsid w:val="54AF7C9D"/>
    <w:multiLevelType w:val="hybridMultilevel"/>
    <w:tmpl w:val="F00234A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9" w15:restartNumberingAfterBreak="0">
    <w:nsid w:val="54B748AC"/>
    <w:multiLevelType w:val="hybridMultilevel"/>
    <w:tmpl w:val="6FFED26E"/>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40" w15:restartNumberingAfterBreak="0">
    <w:nsid w:val="563CA75D"/>
    <w:multiLevelType w:val="hybridMultilevel"/>
    <w:tmpl w:val="5142CE6C"/>
    <w:lvl w:ilvl="0" w:tplc="C464A8D2">
      <w:start w:val="1"/>
      <w:numFmt w:val="bullet"/>
      <w:lvlText w:val=""/>
      <w:lvlJc w:val="left"/>
      <w:pPr>
        <w:ind w:left="927" w:hanging="360"/>
      </w:pPr>
      <w:rPr>
        <w:rFonts w:ascii="Symbol" w:hAnsi="Symbol" w:hint="default"/>
      </w:rPr>
    </w:lvl>
    <w:lvl w:ilvl="1" w:tplc="1504B1D6">
      <w:start w:val="1"/>
      <w:numFmt w:val="bullet"/>
      <w:lvlText w:val="o"/>
      <w:lvlJc w:val="left"/>
      <w:pPr>
        <w:ind w:left="1647" w:hanging="360"/>
      </w:pPr>
      <w:rPr>
        <w:rFonts w:ascii="Courier New" w:hAnsi="Courier New" w:hint="default"/>
      </w:rPr>
    </w:lvl>
    <w:lvl w:ilvl="2" w:tplc="D90AED74">
      <w:start w:val="1"/>
      <w:numFmt w:val="bullet"/>
      <w:lvlText w:val=""/>
      <w:lvlJc w:val="left"/>
      <w:pPr>
        <w:ind w:left="2367" w:hanging="360"/>
      </w:pPr>
      <w:rPr>
        <w:rFonts w:ascii="Wingdings" w:hAnsi="Wingdings" w:hint="default"/>
      </w:rPr>
    </w:lvl>
    <w:lvl w:ilvl="3" w:tplc="F880FFA0">
      <w:start w:val="1"/>
      <w:numFmt w:val="bullet"/>
      <w:lvlText w:val=""/>
      <w:lvlJc w:val="left"/>
      <w:pPr>
        <w:ind w:left="3087" w:hanging="360"/>
      </w:pPr>
      <w:rPr>
        <w:rFonts w:ascii="Symbol" w:hAnsi="Symbol" w:hint="default"/>
      </w:rPr>
    </w:lvl>
    <w:lvl w:ilvl="4" w:tplc="3BBE4BBC">
      <w:start w:val="1"/>
      <w:numFmt w:val="bullet"/>
      <w:lvlText w:val="o"/>
      <w:lvlJc w:val="left"/>
      <w:pPr>
        <w:ind w:left="3807" w:hanging="360"/>
      </w:pPr>
      <w:rPr>
        <w:rFonts w:ascii="Courier New" w:hAnsi="Courier New" w:hint="default"/>
      </w:rPr>
    </w:lvl>
    <w:lvl w:ilvl="5" w:tplc="D8C45A88">
      <w:start w:val="1"/>
      <w:numFmt w:val="bullet"/>
      <w:lvlText w:val=""/>
      <w:lvlJc w:val="left"/>
      <w:pPr>
        <w:ind w:left="4527" w:hanging="360"/>
      </w:pPr>
      <w:rPr>
        <w:rFonts w:ascii="Wingdings" w:hAnsi="Wingdings" w:hint="default"/>
      </w:rPr>
    </w:lvl>
    <w:lvl w:ilvl="6" w:tplc="66068AC8">
      <w:start w:val="1"/>
      <w:numFmt w:val="bullet"/>
      <w:lvlText w:val=""/>
      <w:lvlJc w:val="left"/>
      <w:pPr>
        <w:ind w:left="5247" w:hanging="360"/>
      </w:pPr>
      <w:rPr>
        <w:rFonts w:ascii="Symbol" w:hAnsi="Symbol" w:hint="default"/>
      </w:rPr>
    </w:lvl>
    <w:lvl w:ilvl="7" w:tplc="8ED4BEF0">
      <w:start w:val="1"/>
      <w:numFmt w:val="bullet"/>
      <w:lvlText w:val="o"/>
      <w:lvlJc w:val="left"/>
      <w:pPr>
        <w:ind w:left="5967" w:hanging="360"/>
      </w:pPr>
      <w:rPr>
        <w:rFonts w:ascii="Courier New" w:hAnsi="Courier New" w:hint="default"/>
      </w:rPr>
    </w:lvl>
    <w:lvl w:ilvl="8" w:tplc="AA228B56">
      <w:start w:val="1"/>
      <w:numFmt w:val="bullet"/>
      <w:lvlText w:val=""/>
      <w:lvlJc w:val="left"/>
      <w:pPr>
        <w:ind w:left="6687" w:hanging="360"/>
      </w:pPr>
      <w:rPr>
        <w:rFonts w:ascii="Wingdings" w:hAnsi="Wingdings" w:hint="default"/>
      </w:rPr>
    </w:lvl>
  </w:abstractNum>
  <w:abstractNum w:abstractNumId="41" w15:restartNumberingAfterBreak="0">
    <w:nsid w:val="57C018C2"/>
    <w:multiLevelType w:val="multilevel"/>
    <w:tmpl w:val="FDDEED2C"/>
    <w:lvl w:ilvl="0">
      <w:start w:val="2"/>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5DBD646C"/>
    <w:multiLevelType w:val="multilevel"/>
    <w:tmpl w:val="8B7C9F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5F10313E"/>
    <w:multiLevelType w:val="multilevel"/>
    <w:tmpl w:val="8A06962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636C04C7"/>
    <w:multiLevelType w:val="multilevel"/>
    <w:tmpl w:val="F6CC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513625F"/>
    <w:multiLevelType w:val="hybridMultilevel"/>
    <w:tmpl w:val="74485EBE"/>
    <w:lvl w:ilvl="0" w:tplc="FD2C085E">
      <w:start w:val="1"/>
      <w:numFmt w:val="lowerLetter"/>
      <w:lvlText w:val="%1."/>
      <w:lvlJc w:val="left"/>
      <w:pPr>
        <w:ind w:left="144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6B75711"/>
    <w:multiLevelType w:val="hybridMultilevel"/>
    <w:tmpl w:val="4A1C92FC"/>
    <w:lvl w:ilvl="0" w:tplc="0C0A0001">
      <w:start w:val="1"/>
      <w:numFmt w:val="bullet"/>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7" w15:restartNumberingAfterBreak="0">
    <w:nsid w:val="67822231"/>
    <w:multiLevelType w:val="hybridMultilevel"/>
    <w:tmpl w:val="EA74EB8A"/>
    <w:lvl w:ilvl="0" w:tplc="0C0A0019">
      <w:start w:val="1"/>
      <w:numFmt w:val="lowerLetter"/>
      <w:lvlText w:val="%1."/>
      <w:lvlJc w:val="left"/>
      <w:pPr>
        <w:ind w:left="1288" w:hanging="360"/>
      </w:pPr>
    </w:lvl>
    <w:lvl w:ilvl="1" w:tplc="0C0A0019" w:tentative="1">
      <w:start w:val="1"/>
      <w:numFmt w:val="lowerLetter"/>
      <w:lvlText w:val="%2."/>
      <w:lvlJc w:val="left"/>
      <w:pPr>
        <w:ind w:left="2008" w:hanging="360"/>
      </w:pPr>
    </w:lvl>
    <w:lvl w:ilvl="2" w:tplc="0C0A001B" w:tentative="1">
      <w:start w:val="1"/>
      <w:numFmt w:val="lowerRoman"/>
      <w:lvlText w:val="%3."/>
      <w:lvlJc w:val="right"/>
      <w:pPr>
        <w:ind w:left="2728" w:hanging="180"/>
      </w:pPr>
    </w:lvl>
    <w:lvl w:ilvl="3" w:tplc="0C0A000F" w:tentative="1">
      <w:start w:val="1"/>
      <w:numFmt w:val="decimal"/>
      <w:lvlText w:val="%4."/>
      <w:lvlJc w:val="left"/>
      <w:pPr>
        <w:ind w:left="3448" w:hanging="360"/>
      </w:pPr>
    </w:lvl>
    <w:lvl w:ilvl="4" w:tplc="0C0A0019" w:tentative="1">
      <w:start w:val="1"/>
      <w:numFmt w:val="lowerLetter"/>
      <w:lvlText w:val="%5."/>
      <w:lvlJc w:val="left"/>
      <w:pPr>
        <w:ind w:left="4168" w:hanging="360"/>
      </w:pPr>
    </w:lvl>
    <w:lvl w:ilvl="5" w:tplc="0C0A001B" w:tentative="1">
      <w:start w:val="1"/>
      <w:numFmt w:val="lowerRoman"/>
      <w:lvlText w:val="%6."/>
      <w:lvlJc w:val="right"/>
      <w:pPr>
        <w:ind w:left="4888" w:hanging="180"/>
      </w:pPr>
    </w:lvl>
    <w:lvl w:ilvl="6" w:tplc="0C0A000F" w:tentative="1">
      <w:start w:val="1"/>
      <w:numFmt w:val="decimal"/>
      <w:lvlText w:val="%7."/>
      <w:lvlJc w:val="left"/>
      <w:pPr>
        <w:ind w:left="5608" w:hanging="360"/>
      </w:pPr>
    </w:lvl>
    <w:lvl w:ilvl="7" w:tplc="0C0A0019" w:tentative="1">
      <w:start w:val="1"/>
      <w:numFmt w:val="lowerLetter"/>
      <w:lvlText w:val="%8."/>
      <w:lvlJc w:val="left"/>
      <w:pPr>
        <w:ind w:left="6328" w:hanging="360"/>
      </w:pPr>
    </w:lvl>
    <w:lvl w:ilvl="8" w:tplc="0C0A001B" w:tentative="1">
      <w:start w:val="1"/>
      <w:numFmt w:val="lowerRoman"/>
      <w:lvlText w:val="%9."/>
      <w:lvlJc w:val="right"/>
      <w:pPr>
        <w:ind w:left="7048" w:hanging="180"/>
      </w:pPr>
    </w:lvl>
  </w:abstractNum>
  <w:abstractNum w:abstractNumId="48" w15:restartNumberingAfterBreak="0">
    <w:nsid w:val="6C6C442E"/>
    <w:multiLevelType w:val="multilevel"/>
    <w:tmpl w:val="B14AF4C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6F183C45"/>
    <w:multiLevelType w:val="hybridMultilevel"/>
    <w:tmpl w:val="C24C7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0DA1D34"/>
    <w:multiLevelType w:val="hybridMultilevel"/>
    <w:tmpl w:val="3AB25082"/>
    <w:lvl w:ilvl="0" w:tplc="FFFFFFFF">
      <w:start w:val="46"/>
      <w:numFmt w:val="bullet"/>
      <w:lvlText w:val=""/>
      <w:lvlJc w:val="left"/>
      <w:pPr>
        <w:ind w:left="1920" w:hanging="360"/>
      </w:pPr>
      <w:rPr>
        <w:rFonts w:ascii="Wingdings" w:hAnsi="Wingdings" w:hint="default"/>
        <w:color w:val="auto"/>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1" w15:restartNumberingAfterBreak="0">
    <w:nsid w:val="793660F8"/>
    <w:multiLevelType w:val="hybridMultilevel"/>
    <w:tmpl w:val="8BE8B3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A364C0B"/>
    <w:multiLevelType w:val="singleLevel"/>
    <w:tmpl w:val="2FB8253C"/>
    <w:lvl w:ilvl="0">
      <w:start w:val="1"/>
      <w:numFmt w:val="upperRoman"/>
      <w:lvlText w:val="%1."/>
      <w:lvlJc w:val="left"/>
      <w:pPr>
        <w:tabs>
          <w:tab w:val="num" w:pos="1320"/>
        </w:tabs>
        <w:ind w:left="1320" w:hanging="720"/>
      </w:pPr>
      <w:rPr>
        <w:rFonts w:ascii="ITCCentury Book" w:hAnsi="ITCCentury Book" w:hint="default"/>
      </w:rPr>
    </w:lvl>
  </w:abstractNum>
  <w:abstractNum w:abstractNumId="53" w15:restartNumberingAfterBreak="0">
    <w:nsid w:val="7FEA0E7E"/>
    <w:multiLevelType w:val="hybridMultilevel"/>
    <w:tmpl w:val="5CD8441C"/>
    <w:lvl w:ilvl="0" w:tplc="F43C38B8">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61258118">
    <w:abstractNumId w:val="29"/>
  </w:num>
  <w:num w:numId="2" w16cid:durableId="1990789231">
    <w:abstractNumId w:val="32"/>
  </w:num>
  <w:num w:numId="3" w16cid:durableId="441069421">
    <w:abstractNumId w:val="40"/>
  </w:num>
  <w:num w:numId="4" w16cid:durableId="1633293628">
    <w:abstractNumId w:val="8"/>
  </w:num>
  <w:num w:numId="5" w16cid:durableId="424109434">
    <w:abstractNumId w:val="7"/>
  </w:num>
  <w:num w:numId="6" w16cid:durableId="1853569618">
    <w:abstractNumId w:val="2"/>
  </w:num>
  <w:num w:numId="7" w16cid:durableId="310066497">
    <w:abstractNumId w:val="27"/>
  </w:num>
  <w:num w:numId="8" w16cid:durableId="557396820">
    <w:abstractNumId w:val="26"/>
  </w:num>
  <w:num w:numId="9" w16cid:durableId="1275014608">
    <w:abstractNumId w:val="39"/>
  </w:num>
  <w:num w:numId="10" w16cid:durableId="673268972">
    <w:abstractNumId w:val="9"/>
  </w:num>
  <w:num w:numId="11" w16cid:durableId="1992059629">
    <w:abstractNumId w:val="52"/>
  </w:num>
  <w:num w:numId="12" w16cid:durableId="12163505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16cid:durableId="205728393">
    <w:abstractNumId w:val="22"/>
  </w:num>
  <w:num w:numId="14" w16cid:durableId="1844129044">
    <w:abstractNumId w:val="1"/>
  </w:num>
  <w:num w:numId="15" w16cid:durableId="471598478">
    <w:abstractNumId w:val="38"/>
  </w:num>
  <w:num w:numId="16" w16cid:durableId="1571382825">
    <w:abstractNumId w:val="37"/>
  </w:num>
  <w:num w:numId="17" w16cid:durableId="1443106753">
    <w:abstractNumId w:val="17"/>
  </w:num>
  <w:num w:numId="18" w16cid:durableId="1264339695">
    <w:abstractNumId w:val="28"/>
  </w:num>
  <w:num w:numId="19" w16cid:durableId="864952009">
    <w:abstractNumId w:val="53"/>
  </w:num>
  <w:num w:numId="20" w16cid:durableId="626937499">
    <w:abstractNumId w:val="36"/>
  </w:num>
  <w:num w:numId="21" w16cid:durableId="1653683057">
    <w:abstractNumId w:val="33"/>
  </w:num>
  <w:num w:numId="22" w16cid:durableId="1862819049">
    <w:abstractNumId w:val="30"/>
  </w:num>
  <w:num w:numId="23" w16cid:durableId="1550871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8169189">
    <w:abstractNumId w:val="13"/>
  </w:num>
  <w:num w:numId="25" w16cid:durableId="691108543">
    <w:abstractNumId w:val="47"/>
  </w:num>
  <w:num w:numId="26" w16cid:durableId="489948917">
    <w:abstractNumId w:val="49"/>
  </w:num>
  <w:num w:numId="27" w16cid:durableId="1870600316">
    <w:abstractNumId w:val="44"/>
  </w:num>
  <w:num w:numId="28" w16cid:durableId="1009910832">
    <w:abstractNumId w:val="4"/>
  </w:num>
  <w:num w:numId="29" w16cid:durableId="1838038204">
    <w:abstractNumId w:val="15"/>
  </w:num>
  <w:num w:numId="30" w16cid:durableId="695158358">
    <w:abstractNumId w:val="42"/>
  </w:num>
  <w:num w:numId="31" w16cid:durableId="1229224921">
    <w:abstractNumId w:val="41"/>
  </w:num>
  <w:num w:numId="32" w16cid:durableId="1130318037">
    <w:abstractNumId w:val="43"/>
  </w:num>
  <w:num w:numId="33" w16cid:durableId="2127459541">
    <w:abstractNumId w:val="16"/>
  </w:num>
  <w:num w:numId="34" w16cid:durableId="1382097636">
    <w:abstractNumId w:val="23"/>
  </w:num>
  <w:num w:numId="35" w16cid:durableId="8023539">
    <w:abstractNumId w:val="31"/>
  </w:num>
  <w:num w:numId="36" w16cid:durableId="934171749">
    <w:abstractNumId w:val="14"/>
  </w:num>
  <w:num w:numId="37" w16cid:durableId="1918442797">
    <w:abstractNumId w:val="11"/>
  </w:num>
  <w:num w:numId="38" w16cid:durableId="1457408494">
    <w:abstractNumId w:val="12"/>
  </w:num>
  <w:num w:numId="39" w16cid:durableId="1192836995">
    <w:abstractNumId w:val="24"/>
  </w:num>
  <w:num w:numId="40" w16cid:durableId="1369256848">
    <w:abstractNumId w:val="10"/>
  </w:num>
  <w:num w:numId="41" w16cid:durableId="1188056155">
    <w:abstractNumId w:val="34"/>
  </w:num>
  <w:num w:numId="42" w16cid:durableId="1959674576">
    <w:abstractNumId w:val="46"/>
  </w:num>
  <w:num w:numId="43" w16cid:durableId="53235669">
    <w:abstractNumId w:val="25"/>
  </w:num>
  <w:num w:numId="44" w16cid:durableId="1119303180">
    <w:abstractNumId w:val="21"/>
  </w:num>
  <w:num w:numId="45" w16cid:durableId="1333530104">
    <w:abstractNumId w:val="50"/>
  </w:num>
  <w:num w:numId="46" w16cid:durableId="772093908">
    <w:abstractNumId w:val="48"/>
  </w:num>
  <w:num w:numId="47" w16cid:durableId="214583747">
    <w:abstractNumId w:val="45"/>
  </w:num>
  <w:num w:numId="48" w16cid:durableId="1010374614">
    <w:abstractNumId w:val="6"/>
  </w:num>
  <w:num w:numId="49" w16cid:durableId="2042702165">
    <w:abstractNumId w:val="5"/>
  </w:num>
  <w:num w:numId="50" w16cid:durableId="1393119311">
    <w:abstractNumId w:val="19"/>
  </w:num>
  <w:num w:numId="51" w16cid:durableId="480581707">
    <w:abstractNumId w:val="3"/>
  </w:num>
  <w:num w:numId="52" w16cid:durableId="1814133329">
    <w:abstractNumId w:val="18"/>
  </w:num>
  <w:num w:numId="53" w16cid:durableId="1094547038">
    <w:abstractNumId w:val="51"/>
  </w:num>
  <w:num w:numId="54" w16cid:durableId="1058741928">
    <w:abstractNumId w:val="35"/>
  </w:num>
  <w:num w:numId="55" w16cid:durableId="313680293">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94C"/>
    <w:rsid w:val="00000144"/>
    <w:rsid w:val="000046C2"/>
    <w:rsid w:val="00005F7E"/>
    <w:rsid w:val="00006C36"/>
    <w:rsid w:val="00010E70"/>
    <w:rsid w:val="00010E83"/>
    <w:rsid w:val="000126CC"/>
    <w:rsid w:val="0001346B"/>
    <w:rsid w:val="00016B3C"/>
    <w:rsid w:val="0003545F"/>
    <w:rsid w:val="00040287"/>
    <w:rsid w:val="000416FE"/>
    <w:rsid w:val="0004420D"/>
    <w:rsid w:val="00046535"/>
    <w:rsid w:val="00047501"/>
    <w:rsid w:val="0005059F"/>
    <w:rsid w:val="0006064E"/>
    <w:rsid w:val="00070A5F"/>
    <w:rsid w:val="00071606"/>
    <w:rsid w:val="000739C4"/>
    <w:rsid w:val="00073EE4"/>
    <w:rsid w:val="00074BC5"/>
    <w:rsid w:val="000756B8"/>
    <w:rsid w:val="000951AF"/>
    <w:rsid w:val="000968B4"/>
    <w:rsid w:val="00097B7F"/>
    <w:rsid w:val="000A00B6"/>
    <w:rsid w:val="000A1B17"/>
    <w:rsid w:val="000A36B7"/>
    <w:rsid w:val="000B2002"/>
    <w:rsid w:val="000C0247"/>
    <w:rsid w:val="000C24C5"/>
    <w:rsid w:val="000C4CE8"/>
    <w:rsid w:val="000C5B0B"/>
    <w:rsid w:val="000D2507"/>
    <w:rsid w:val="000D3379"/>
    <w:rsid w:val="000D42AE"/>
    <w:rsid w:val="000D47FB"/>
    <w:rsid w:val="000D4FD4"/>
    <w:rsid w:val="000D672B"/>
    <w:rsid w:val="000D6F11"/>
    <w:rsid w:val="000D79F2"/>
    <w:rsid w:val="000DB462"/>
    <w:rsid w:val="000E021A"/>
    <w:rsid w:val="000E0FBA"/>
    <w:rsid w:val="000E20EE"/>
    <w:rsid w:val="000E6E25"/>
    <w:rsid w:val="000E7555"/>
    <w:rsid w:val="000F4369"/>
    <w:rsid w:val="00106A3F"/>
    <w:rsid w:val="00107795"/>
    <w:rsid w:val="00113C27"/>
    <w:rsid w:val="001148D9"/>
    <w:rsid w:val="00114B8B"/>
    <w:rsid w:val="00114B9E"/>
    <w:rsid w:val="001153ED"/>
    <w:rsid w:val="0011D1EF"/>
    <w:rsid w:val="00122D77"/>
    <w:rsid w:val="00124C8D"/>
    <w:rsid w:val="00125C1E"/>
    <w:rsid w:val="00125CF9"/>
    <w:rsid w:val="001260E5"/>
    <w:rsid w:val="00127A06"/>
    <w:rsid w:val="00131696"/>
    <w:rsid w:val="00131BF5"/>
    <w:rsid w:val="00133CE6"/>
    <w:rsid w:val="00140291"/>
    <w:rsid w:val="001416A5"/>
    <w:rsid w:val="00141996"/>
    <w:rsid w:val="00141AA9"/>
    <w:rsid w:val="00144AE1"/>
    <w:rsid w:val="00145C69"/>
    <w:rsid w:val="001468DE"/>
    <w:rsid w:val="00150691"/>
    <w:rsid w:val="001510D4"/>
    <w:rsid w:val="001553B0"/>
    <w:rsid w:val="00155BBC"/>
    <w:rsid w:val="00162756"/>
    <w:rsid w:val="00177BE5"/>
    <w:rsid w:val="001815EA"/>
    <w:rsid w:val="00185664"/>
    <w:rsid w:val="001878E6"/>
    <w:rsid w:val="0019340C"/>
    <w:rsid w:val="00195E51"/>
    <w:rsid w:val="00196515"/>
    <w:rsid w:val="001979E0"/>
    <w:rsid w:val="001A2CB1"/>
    <w:rsid w:val="001A4E94"/>
    <w:rsid w:val="001B4139"/>
    <w:rsid w:val="001B572B"/>
    <w:rsid w:val="001C6523"/>
    <w:rsid w:val="001C70EF"/>
    <w:rsid w:val="001D34C6"/>
    <w:rsid w:val="001D3AF5"/>
    <w:rsid w:val="001D3F60"/>
    <w:rsid w:val="001D6EBF"/>
    <w:rsid w:val="001E1859"/>
    <w:rsid w:val="001E50E8"/>
    <w:rsid w:val="001E54B3"/>
    <w:rsid w:val="001E74A2"/>
    <w:rsid w:val="001F14D9"/>
    <w:rsid w:val="001F1A34"/>
    <w:rsid w:val="001F5495"/>
    <w:rsid w:val="001F6F2F"/>
    <w:rsid w:val="001F764A"/>
    <w:rsid w:val="0020380B"/>
    <w:rsid w:val="00204A96"/>
    <w:rsid w:val="002139E5"/>
    <w:rsid w:val="00217666"/>
    <w:rsid w:val="0022005B"/>
    <w:rsid w:val="00222EBC"/>
    <w:rsid w:val="00224789"/>
    <w:rsid w:val="00226E63"/>
    <w:rsid w:val="00227A2D"/>
    <w:rsid w:val="0023560E"/>
    <w:rsid w:val="0023657C"/>
    <w:rsid w:val="00237485"/>
    <w:rsid w:val="002377DF"/>
    <w:rsid w:val="00237D52"/>
    <w:rsid w:val="0024180F"/>
    <w:rsid w:val="002455A7"/>
    <w:rsid w:val="00245779"/>
    <w:rsid w:val="00246125"/>
    <w:rsid w:val="002464E1"/>
    <w:rsid w:val="002474B5"/>
    <w:rsid w:val="00247DB6"/>
    <w:rsid w:val="002517A9"/>
    <w:rsid w:val="00253604"/>
    <w:rsid w:val="00267556"/>
    <w:rsid w:val="00267EA3"/>
    <w:rsid w:val="0027110E"/>
    <w:rsid w:val="002761D8"/>
    <w:rsid w:val="00276937"/>
    <w:rsid w:val="00281431"/>
    <w:rsid w:val="002929EB"/>
    <w:rsid w:val="00294E4B"/>
    <w:rsid w:val="002959EB"/>
    <w:rsid w:val="00296FBC"/>
    <w:rsid w:val="00297060"/>
    <w:rsid w:val="00297CB2"/>
    <w:rsid w:val="002B00A7"/>
    <w:rsid w:val="002B1A07"/>
    <w:rsid w:val="002B4002"/>
    <w:rsid w:val="002B6A0A"/>
    <w:rsid w:val="002C15F8"/>
    <w:rsid w:val="002C633A"/>
    <w:rsid w:val="002D4137"/>
    <w:rsid w:val="002E0C69"/>
    <w:rsid w:val="002E314C"/>
    <w:rsid w:val="002E63C1"/>
    <w:rsid w:val="002E6702"/>
    <w:rsid w:val="002F0A3E"/>
    <w:rsid w:val="002F4E1D"/>
    <w:rsid w:val="002F61E6"/>
    <w:rsid w:val="00302AE5"/>
    <w:rsid w:val="003048C7"/>
    <w:rsid w:val="00305A33"/>
    <w:rsid w:val="00307C3D"/>
    <w:rsid w:val="003111F2"/>
    <w:rsid w:val="00314A13"/>
    <w:rsid w:val="00314B01"/>
    <w:rsid w:val="00315E21"/>
    <w:rsid w:val="00321175"/>
    <w:rsid w:val="00325EC2"/>
    <w:rsid w:val="003315C6"/>
    <w:rsid w:val="00335637"/>
    <w:rsid w:val="0033768E"/>
    <w:rsid w:val="0034159C"/>
    <w:rsid w:val="00342948"/>
    <w:rsid w:val="003445FA"/>
    <w:rsid w:val="0035113C"/>
    <w:rsid w:val="00354D22"/>
    <w:rsid w:val="00363F52"/>
    <w:rsid w:val="003645BF"/>
    <w:rsid w:val="003654CC"/>
    <w:rsid w:val="00366A4D"/>
    <w:rsid w:val="00366DEF"/>
    <w:rsid w:val="00372D9E"/>
    <w:rsid w:val="0037345C"/>
    <w:rsid w:val="0037436C"/>
    <w:rsid w:val="003854E8"/>
    <w:rsid w:val="0038590F"/>
    <w:rsid w:val="00390B6F"/>
    <w:rsid w:val="00390D54"/>
    <w:rsid w:val="00391E5F"/>
    <w:rsid w:val="00393EB0"/>
    <w:rsid w:val="003A0054"/>
    <w:rsid w:val="003A4849"/>
    <w:rsid w:val="003B2E76"/>
    <w:rsid w:val="003B30E0"/>
    <w:rsid w:val="003C0F5E"/>
    <w:rsid w:val="003C6ADF"/>
    <w:rsid w:val="003C6BF4"/>
    <w:rsid w:val="003D27D7"/>
    <w:rsid w:val="003D5D77"/>
    <w:rsid w:val="003D790D"/>
    <w:rsid w:val="003E018A"/>
    <w:rsid w:val="003E11DE"/>
    <w:rsid w:val="003E2F86"/>
    <w:rsid w:val="003E4C67"/>
    <w:rsid w:val="003E503C"/>
    <w:rsid w:val="00407D32"/>
    <w:rsid w:val="004101D9"/>
    <w:rsid w:val="00411A67"/>
    <w:rsid w:val="0041637A"/>
    <w:rsid w:val="004223E4"/>
    <w:rsid w:val="00431FBC"/>
    <w:rsid w:val="004346B5"/>
    <w:rsid w:val="004379DC"/>
    <w:rsid w:val="00451E76"/>
    <w:rsid w:val="00452421"/>
    <w:rsid w:val="00455603"/>
    <w:rsid w:val="00461770"/>
    <w:rsid w:val="00464EF9"/>
    <w:rsid w:val="00466EF9"/>
    <w:rsid w:val="00470E58"/>
    <w:rsid w:val="00471CE4"/>
    <w:rsid w:val="00477538"/>
    <w:rsid w:val="004803C1"/>
    <w:rsid w:val="00483983"/>
    <w:rsid w:val="0048559E"/>
    <w:rsid w:val="004871FB"/>
    <w:rsid w:val="0049147F"/>
    <w:rsid w:val="0049322F"/>
    <w:rsid w:val="004937DD"/>
    <w:rsid w:val="0049622B"/>
    <w:rsid w:val="0049729B"/>
    <w:rsid w:val="004A1D79"/>
    <w:rsid w:val="004A4BCF"/>
    <w:rsid w:val="004B2575"/>
    <w:rsid w:val="004B2C81"/>
    <w:rsid w:val="004B3A0A"/>
    <w:rsid w:val="004B477D"/>
    <w:rsid w:val="004B5DA4"/>
    <w:rsid w:val="004E042A"/>
    <w:rsid w:val="004E05A1"/>
    <w:rsid w:val="004E1493"/>
    <w:rsid w:val="004E2EE4"/>
    <w:rsid w:val="004E3854"/>
    <w:rsid w:val="004E6FE3"/>
    <w:rsid w:val="004E7086"/>
    <w:rsid w:val="004F19E2"/>
    <w:rsid w:val="004F3B07"/>
    <w:rsid w:val="004F503F"/>
    <w:rsid w:val="004F5966"/>
    <w:rsid w:val="004F5A39"/>
    <w:rsid w:val="004F767E"/>
    <w:rsid w:val="004F7A93"/>
    <w:rsid w:val="0050195D"/>
    <w:rsid w:val="00503A2E"/>
    <w:rsid w:val="0050408C"/>
    <w:rsid w:val="00505B63"/>
    <w:rsid w:val="00514CCC"/>
    <w:rsid w:val="00516C0D"/>
    <w:rsid w:val="00516F88"/>
    <w:rsid w:val="00523D44"/>
    <w:rsid w:val="0053095F"/>
    <w:rsid w:val="00531743"/>
    <w:rsid w:val="005326DF"/>
    <w:rsid w:val="00535F78"/>
    <w:rsid w:val="00545BA8"/>
    <w:rsid w:val="00546484"/>
    <w:rsid w:val="00552559"/>
    <w:rsid w:val="00563FF3"/>
    <w:rsid w:val="0056596C"/>
    <w:rsid w:val="0056685C"/>
    <w:rsid w:val="00570102"/>
    <w:rsid w:val="00570411"/>
    <w:rsid w:val="00577960"/>
    <w:rsid w:val="00580445"/>
    <w:rsid w:val="00584353"/>
    <w:rsid w:val="00584613"/>
    <w:rsid w:val="00594B0B"/>
    <w:rsid w:val="00596733"/>
    <w:rsid w:val="00596E1B"/>
    <w:rsid w:val="005A2DC2"/>
    <w:rsid w:val="005B0DC1"/>
    <w:rsid w:val="005B324F"/>
    <w:rsid w:val="005B3A3D"/>
    <w:rsid w:val="005B6B07"/>
    <w:rsid w:val="005B7313"/>
    <w:rsid w:val="005B77AB"/>
    <w:rsid w:val="005D0560"/>
    <w:rsid w:val="005D0D1A"/>
    <w:rsid w:val="005D2604"/>
    <w:rsid w:val="005D3280"/>
    <w:rsid w:val="005D5278"/>
    <w:rsid w:val="005E01F2"/>
    <w:rsid w:val="005E03F5"/>
    <w:rsid w:val="005E3C11"/>
    <w:rsid w:val="005E7BA1"/>
    <w:rsid w:val="005F087F"/>
    <w:rsid w:val="005F65D1"/>
    <w:rsid w:val="006014F8"/>
    <w:rsid w:val="00611E49"/>
    <w:rsid w:val="00623FB3"/>
    <w:rsid w:val="00625055"/>
    <w:rsid w:val="00625187"/>
    <w:rsid w:val="006253EB"/>
    <w:rsid w:val="00625F58"/>
    <w:rsid w:val="006277F7"/>
    <w:rsid w:val="006318CD"/>
    <w:rsid w:val="0064222A"/>
    <w:rsid w:val="00646C33"/>
    <w:rsid w:val="00655AE9"/>
    <w:rsid w:val="00662D79"/>
    <w:rsid w:val="0066729D"/>
    <w:rsid w:val="006803F8"/>
    <w:rsid w:val="00682852"/>
    <w:rsid w:val="00685D81"/>
    <w:rsid w:val="00691236"/>
    <w:rsid w:val="006965C8"/>
    <w:rsid w:val="006A4C94"/>
    <w:rsid w:val="006A794C"/>
    <w:rsid w:val="006B0DF7"/>
    <w:rsid w:val="006B1381"/>
    <w:rsid w:val="006B32D6"/>
    <w:rsid w:val="006B40D8"/>
    <w:rsid w:val="006C2B13"/>
    <w:rsid w:val="006D0496"/>
    <w:rsid w:val="006D5EB3"/>
    <w:rsid w:val="006D7338"/>
    <w:rsid w:val="006E022F"/>
    <w:rsid w:val="006E262F"/>
    <w:rsid w:val="006E3D48"/>
    <w:rsid w:val="006E4B07"/>
    <w:rsid w:val="006E53FB"/>
    <w:rsid w:val="006F34B3"/>
    <w:rsid w:val="006F57C0"/>
    <w:rsid w:val="006F5D47"/>
    <w:rsid w:val="006F6DEE"/>
    <w:rsid w:val="00701E88"/>
    <w:rsid w:val="0070319E"/>
    <w:rsid w:val="007055AA"/>
    <w:rsid w:val="007055B9"/>
    <w:rsid w:val="00707A1B"/>
    <w:rsid w:val="00712BFC"/>
    <w:rsid w:val="00712E7C"/>
    <w:rsid w:val="00715E6A"/>
    <w:rsid w:val="00717718"/>
    <w:rsid w:val="00722A22"/>
    <w:rsid w:val="00723A0D"/>
    <w:rsid w:val="0072577B"/>
    <w:rsid w:val="00725BBE"/>
    <w:rsid w:val="00731F69"/>
    <w:rsid w:val="00735526"/>
    <w:rsid w:val="00736EE1"/>
    <w:rsid w:val="00743926"/>
    <w:rsid w:val="007463BF"/>
    <w:rsid w:val="0074755A"/>
    <w:rsid w:val="00750EC5"/>
    <w:rsid w:val="007615BB"/>
    <w:rsid w:val="007658FB"/>
    <w:rsid w:val="007667AE"/>
    <w:rsid w:val="00770671"/>
    <w:rsid w:val="007820AC"/>
    <w:rsid w:val="00787473"/>
    <w:rsid w:val="00790079"/>
    <w:rsid w:val="00790ED0"/>
    <w:rsid w:val="00796CBB"/>
    <w:rsid w:val="007A0C5E"/>
    <w:rsid w:val="007A1141"/>
    <w:rsid w:val="007A4B24"/>
    <w:rsid w:val="007A726C"/>
    <w:rsid w:val="007B078E"/>
    <w:rsid w:val="007B1BCA"/>
    <w:rsid w:val="007B4929"/>
    <w:rsid w:val="007B6491"/>
    <w:rsid w:val="007D1045"/>
    <w:rsid w:val="007D5D01"/>
    <w:rsid w:val="007D68A8"/>
    <w:rsid w:val="007E1C74"/>
    <w:rsid w:val="007E24ED"/>
    <w:rsid w:val="00801032"/>
    <w:rsid w:val="00803752"/>
    <w:rsid w:val="00805BB0"/>
    <w:rsid w:val="00806E8B"/>
    <w:rsid w:val="00807E15"/>
    <w:rsid w:val="00812663"/>
    <w:rsid w:val="00821741"/>
    <w:rsid w:val="00823EA8"/>
    <w:rsid w:val="00824B5F"/>
    <w:rsid w:val="00824E40"/>
    <w:rsid w:val="00827B84"/>
    <w:rsid w:val="00831789"/>
    <w:rsid w:val="00832C64"/>
    <w:rsid w:val="00832FE5"/>
    <w:rsid w:val="00835A7B"/>
    <w:rsid w:val="00837FC6"/>
    <w:rsid w:val="00862E12"/>
    <w:rsid w:val="00870041"/>
    <w:rsid w:val="0087076C"/>
    <w:rsid w:val="008731E2"/>
    <w:rsid w:val="0087390E"/>
    <w:rsid w:val="008753D6"/>
    <w:rsid w:val="0087731D"/>
    <w:rsid w:val="0088075A"/>
    <w:rsid w:val="00886EDF"/>
    <w:rsid w:val="0088700C"/>
    <w:rsid w:val="0088778F"/>
    <w:rsid w:val="008910C4"/>
    <w:rsid w:val="008921AE"/>
    <w:rsid w:val="008A235C"/>
    <w:rsid w:val="008A58AD"/>
    <w:rsid w:val="008A5B1B"/>
    <w:rsid w:val="008B116E"/>
    <w:rsid w:val="008B51E9"/>
    <w:rsid w:val="008C5D69"/>
    <w:rsid w:val="008E08A0"/>
    <w:rsid w:val="008E368F"/>
    <w:rsid w:val="008F1AC6"/>
    <w:rsid w:val="008F2824"/>
    <w:rsid w:val="008F630C"/>
    <w:rsid w:val="008F7CB4"/>
    <w:rsid w:val="009007D7"/>
    <w:rsid w:val="00912208"/>
    <w:rsid w:val="00912584"/>
    <w:rsid w:val="009167C0"/>
    <w:rsid w:val="0092279E"/>
    <w:rsid w:val="00942134"/>
    <w:rsid w:val="00942474"/>
    <w:rsid w:val="00945509"/>
    <w:rsid w:val="0094610F"/>
    <w:rsid w:val="009472AB"/>
    <w:rsid w:val="009558A9"/>
    <w:rsid w:val="00960553"/>
    <w:rsid w:val="009605F4"/>
    <w:rsid w:val="009653E5"/>
    <w:rsid w:val="0097068F"/>
    <w:rsid w:val="00974187"/>
    <w:rsid w:val="00977EE6"/>
    <w:rsid w:val="00984243"/>
    <w:rsid w:val="00987704"/>
    <w:rsid w:val="00991B2C"/>
    <w:rsid w:val="0099502E"/>
    <w:rsid w:val="00996BAB"/>
    <w:rsid w:val="009A4582"/>
    <w:rsid w:val="009B128B"/>
    <w:rsid w:val="009B5C9E"/>
    <w:rsid w:val="009C0DC0"/>
    <w:rsid w:val="009C2DD1"/>
    <w:rsid w:val="009D4397"/>
    <w:rsid w:val="009D5874"/>
    <w:rsid w:val="009E43FD"/>
    <w:rsid w:val="009E5187"/>
    <w:rsid w:val="009E5A39"/>
    <w:rsid w:val="009E6DA7"/>
    <w:rsid w:val="009F579C"/>
    <w:rsid w:val="00A03047"/>
    <w:rsid w:val="00A030C8"/>
    <w:rsid w:val="00A11049"/>
    <w:rsid w:val="00A11081"/>
    <w:rsid w:val="00A20E53"/>
    <w:rsid w:val="00A215EC"/>
    <w:rsid w:val="00A23889"/>
    <w:rsid w:val="00A246DB"/>
    <w:rsid w:val="00A25655"/>
    <w:rsid w:val="00A2706F"/>
    <w:rsid w:val="00A3463B"/>
    <w:rsid w:val="00A34C96"/>
    <w:rsid w:val="00A376A2"/>
    <w:rsid w:val="00A4007F"/>
    <w:rsid w:val="00A44D99"/>
    <w:rsid w:val="00A44E6A"/>
    <w:rsid w:val="00A4549F"/>
    <w:rsid w:val="00A456EC"/>
    <w:rsid w:val="00A47423"/>
    <w:rsid w:val="00A5045E"/>
    <w:rsid w:val="00A5F0B3"/>
    <w:rsid w:val="00A62332"/>
    <w:rsid w:val="00A6449C"/>
    <w:rsid w:val="00A65169"/>
    <w:rsid w:val="00A6531B"/>
    <w:rsid w:val="00A66CB9"/>
    <w:rsid w:val="00A6700C"/>
    <w:rsid w:val="00A67A2F"/>
    <w:rsid w:val="00A67B6F"/>
    <w:rsid w:val="00A72660"/>
    <w:rsid w:val="00A76A9C"/>
    <w:rsid w:val="00A800BD"/>
    <w:rsid w:val="00A80E78"/>
    <w:rsid w:val="00A90624"/>
    <w:rsid w:val="00A9588B"/>
    <w:rsid w:val="00AA6D0F"/>
    <w:rsid w:val="00AB0B94"/>
    <w:rsid w:val="00AB338D"/>
    <w:rsid w:val="00AB4DBD"/>
    <w:rsid w:val="00AB59A7"/>
    <w:rsid w:val="00AC0D36"/>
    <w:rsid w:val="00AC12BD"/>
    <w:rsid w:val="00AC50B8"/>
    <w:rsid w:val="00AD0B5B"/>
    <w:rsid w:val="00AD0F12"/>
    <w:rsid w:val="00AD7D47"/>
    <w:rsid w:val="00AE1EA8"/>
    <w:rsid w:val="00AF2EA1"/>
    <w:rsid w:val="00AF4D4A"/>
    <w:rsid w:val="00B01024"/>
    <w:rsid w:val="00B02B15"/>
    <w:rsid w:val="00B04217"/>
    <w:rsid w:val="00B07A5F"/>
    <w:rsid w:val="00B12C0F"/>
    <w:rsid w:val="00B1511D"/>
    <w:rsid w:val="00B17D24"/>
    <w:rsid w:val="00B20E33"/>
    <w:rsid w:val="00B21AFA"/>
    <w:rsid w:val="00B246C5"/>
    <w:rsid w:val="00B266AD"/>
    <w:rsid w:val="00B27604"/>
    <w:rsid w:val="00B31147"/>
    <w:rsid w:val="00B430EB"/>
    <w:rsid w:val="00B43EF9"/>
    <w:rsid w:val="00B44963"/>
    <w:rsid w:val="00B47833"/>
    <w:rsid w:val="00B54906"/>
    <w:rsid w:val="00B631D1"/>
    <w:rsid w:val="00B66593"/>
    <w:rsid w:val="00B70820"/>
    <w:rsid w:val="00B743AB"/>
    <w:rsid w:val="00B779F6"/>
    <w:rsid w:val="00B815C1"/>
    <w:rsid w:val="00B83886"/>
    <w:rsid w:val="00B92052"/>
    <w:rsid w:val="00BA2103"/>
    <w:rsid w:val="00BA5E19"/>
    <w:rsid w:val="00BB3F84"/>
    <w:rsid w:val="00BC217B"/>
    <w:rsid w:val="00BC2A9C"/>
    <w:rsid w:val="00BD34AA"/>
    <w:rsid w:val="00BD440C"/>
    <w:rsid w:val="00BD4E42"/>
    <w:rsid w:val="00BD70D9"/>
    <w:rsid w:val="00BE0B17"/>
    <w:rsid w:val="00BE0D35"/>
    <w:rsid w:val="00BE1647"/>
    <w:rsid w:val="00BE25BD"/>
    <w:rsid w:val="00BE284A"/>
    <w:rsid w:val="00BE4372"/>
    <w:rsid w:val="00BE4F26"/>
    <w:rsid w:val="00C004A1"/>
    <w:rsid w:val="00C013B1"/>
    <w:rsid w:val="00C028E0"/>
    <w:rsid w:val="00C03177"/>
    <w:rsid w:val="00C13231"/>
    <w:rsid w:val="00C147EB"/>
    <w:rsid w:val="00C20295"/>
    <w:rsid w:val="00C216A5"/>
    <w:rsid w:val="00C21F74"/>
    <w:rsid w:val="00C23169"/>
    <w:rsid w:val="00C24DE4"/>
    <w:rsid w:val="00C25AAC"/>
    <w:rsid w:val="00C25E1E"/>
    <w:rsid w:val="00C31EE3"/>
    <w:rsid w:val="00C36109"/>
    <w:rsid w:val="00C42C33"/>
    <w:rsid w:val="00C44CFA"/>
    <w:rsid w:val="00C467D6"/>
    <w:rsid w:val="00C47FD7"/>
    <w:rsid w:val="00C512CB"/>
    <w:rsid w:val="00C5131C"/>
    <w:rsid w:val="00C54658"/>
    <w:rsid w:val="00C557AC"/>
    <w:rsid w:val="00C577CC"/>
    <w:rsid w:val="00C600AC"/>
    <w:rsid w:val="00C70692"/>
    <w:rsid w:val="00C71720"/>
    <w:rsid w:val="00C73FA3"/>
    <w:rsid w:val="00C74582"/>
    <w:rsid w:val="00C812BE"/>
    <w:rsid w:val="00C84FC4"/>
    <w:rsid w:val="00C87F50"/>
    <w:rsid w:val="00C87F91"/>
    <w:rsid w:val="00C904C4"/>
    <w:rsid w:val="00C94056"/>
    <w:rsid w:val="00C950F4"/>
    <w:rsid w:val="00C95B94"/>
    <w:rsid w:val="00C97BDA"/>
    <w:rsid w:val="00CA1162"/>
    <w:rsid w:val="00CA26AF"/>
    <w:rsid w:val="00CA2D6F"/>
    <w:rsid w:val="00CA325C"/>
    <w:rsid w:val="00CA6000"/>
    <w:rsid w:val="00CB35DE"/>
    <w:rsid w:val="00CB3FDA"/>
    <w:rsid w:val="00CC1E0C"/>
    <w:rsid w:val="00CC5754"/>
    <w:rsid w:val="00CC73CA"/>
    <w:rsid w:val="00CCB11C"/>
    <w:rsid w:val="00CD4637"/>
    <w:rsid w:val="00CE15B9"/>
    <w:rsid w:val="00CE1FEE"/>
    <w:rsid w:val="00CE601F"/>
    <w:rsid w:val="00CE6AFD"/>
    <w:rsid w:val="00CF15C6"/>
    <w:rsid w:val="00CF4516"/>
    <w:rsid w:val="00CF470B"/>
    <w:rsid w:val="00D02A3D"/>
    <w:rsid w:val="00D108D9"/>
    <w:rsid w:val="00D113C4"/>
    <w:rsid w:val="00D11E88"/>
    <w:rsid w:val="00D151E8"/>
    <w:rsid w:val="00D25E96"/>
    <w:rsid w:val="00D31A3C"/>
    <w:rsid w:val="00D41515"/>
    <w:rsid w:val="00D47338"/>
    <w:rsid w:val="00D479DA"/>
    <w:rsid w:val="00D520FF"/>
    <w:rsid w:val="00D53590"/>
    <w:rsid w:val="00D57F22"/>
    <w:rsid w:val="00D62F1F"/>
    <w:rsid w:val="00D66676"/>
    <w:rsid w:val="00D671C5"/>
    <w:rsid w:val="00D67829"/>
    <w:rsid w:val="00D67A9F"/>
    <w:rsid w:val="00D702F6"/>
    <w:rsid w:val="00D735FB"/>
    <w:rsid w:val="00D84870"/>
    <w:rsid w:val="00D8689A"/>
    <w:rsid w:val="00D90B84"/>
    <w:rsid w:val="00D9232B"/>
    <w:rsid w:val="00DA48B5"/>
    <w:rsid w:val="00DA71E1"/>
    <w:rsid w:val="00DA7A03"/>
    <w:rsid w:val="00DB1FB1"/>
    <w:rsid w:val="00DB32FD"/>
    <w:rsid w:val="00DB4020"/>
    <w:rsid w:val="00DC70D9"/>
    <w:rsid w:val="00DD0FC7"/>
    <w:rsid w:val="00DD299D"/>
    <w:rsid w:val="00DD3098"/>
    <w:rsid w:val="00DD538F"/>
    <w:rsid w:val="00DE00D9"/>
    <w:rsid w:val="00DE0EB4"/>
    <w:rsid w:val="00DE7E31"/>
    <w:rsid w:val="00DF1D6D"/>
    <w:rsid w:val="00DF6CAC"/>
    <w:rsid w:val="00DF73A5"/>
    <w:rsid w:val="00E03029"/>
    <w:rsid w:val="00E03234"/>
    <w:rsid w:val="00E12743"/>
    <w:rsid w:val="00E12872"/>
    <w:rsid w:val="00E143F3"/>
    <w:rsid w:val="00E14608"/>
    <w:rsid w:val="00E14A7F"/>
    <w:rsid w:val="00E14C8C"/>
    <w:rsid w:val="00E161C4"/>
    <w:rsid w:val="00E2209D"/>
    <w:rsid w:val="00E220D6"/>
    <w:rsid w:val="00E2425A"/>
    <w:rsid w:val="00E25827"/>
    <w:rsid w:val="00E2587E"/>
    <w:rsid w:val="00E31E75"/>
    <w:rsid w:val="00E33FFE"/>
    <w:rsid w:val="00E341F1"/>
    <w:rsid w:val="00E34869"/>
    <w:rsid w:val="00E35B29"/>
    <w:rsid w:val="00E371C2"/>
    <w:rsid w:val="00E40192"/>
    <w:rsid w:val="00E50579"/>
    <w:rsid w:val="00E50EE2"/>
    <w:rsid w:val="00E50FD9"/>
    <w:rsid w:val="00E5335C"/>
    <w:rsid w:val="00E558C5"/>
    <w:rsid w:val="00E5596B"/>
    <w:rsid w:val="00E55AAA"/>
    <w:rsid w:val="00E565D2"/>
    <w:rsid w:val="00E57C8E"/>
    <w:rsid w:val="00E61640"/>
    <w:rsid w:val="00E62036"/>
    <w:rsid w:val="00E63A4D"/>
    <w:rsid w:val="00E703BC"/>
    <w:rsid w:val="00E771A5"/>
    <w:rsid w:val="00E8099B"/>
    <w:rsid w:val="00E82F24"/>
    <w:rsid w:val="00E8746A"/>
    <w:rsid w:val="00E91676"/>
    <w:rsid w:val="00E91FD8"/>
    <w:rsid w:val="00E931AC"/>
    <w:rsid w:val="00E94F74"/>
    <w:rsid w:val="00E97838"/>
    <w:rsid w:val="00E97992"/>
    <w:rsid w:val="00E97D5D"/>
    <w:rsid w:val="00EA1C05"/>
    <w:rsid w:val="00EA1D67"/>
    <w:rsid w:val="00EA1DA0"/>
    <w:rsid w:val="00EA7C2C"/>
    <w:rsid w:val="00EB11FE"/>
    <w:rsid w:val="00EB22B9"/>
    <w:rsid w:val="00EB2E85"/>
    <w:rsid w:val="00EB4BD1"/>
    <w:rsid w:val="00EB6A1A"/>
    <w:rsid w:val="00EC2AE3"/>
    <w:rsid w:val="00EC3276"/>
    <w:rsid w:val="00EC66C6"/>
    <w:rsid w:val="00ED71C9"/>
    <w:rsid w:val="00EE2F52"/>
    <w:rsid w:val="00EE3FB4"/>
    <w:rsid w:val="00EE505D"/>
    <w:rsid w:val="00EE69F2"/>
    <w:rsid w:val="00EE6F58"/>
    <w:rsid w:val="00EE7C97"/>
    <w:rsid w:val="00EEC956"/>
    <w:rsid w:val="00F0201E"/>
    <w:rsid w:val="00F027BA"/>
    <w:rsid w:val="00F04DFA"/>
    <w:rsid w:val="00F058C8"/>
    <w:rsid w:val="00F06F63"/>
    <w:rsid w:val="00F10291"/>
    <w:rsid w:val="00F10670"/>
    <w:rsid w:val="00F10978"/>
    <w:rsid w:val="00F12DC1"/>
    <w:rsid w:val="00F135C6"/>
    <w:rsid w:val="00F135D7"/>
    <w:rsid w:val="00F144AA"/>
    <w:rsid w:val="00F156D6"/>
    <w:rsid w:val="00F15E44"/>
    <w:rsid w:val="00F16411"/>
    <w:rsid w:val="00F17287"/>
    <w:rsid w:val="00F25DF1"/>
    <w:rsid w:val="00F263CA"/>
    <w:rsid w:val="00F267E7"/>
    <w:rsid w:val="00F300F2"/>
    <w:rsid w:val="00F43476"/>
    <w:rsid w:val="00F45FD7"/>
    <w:rsid w:val="00F46E0E"/>
    <w:rsid w:val="00F47C8A"/>
    <w:rsid w:val="00F54C1F"/>
    <w:rsid w:val="00F558F7"/>
    <w:rsid w:val="00F60CE4"/>
    <w:rsid w:val="00F616CE"/>
    <w:rsid w:val="00F774B9"/>
    <w:rsid w:val="00F8056B"/>
    <w:rsid w:val="00F849BD"/>
    <w:rsid w:val="00F8525D"/>
    <w:rsid w:val="00F86E0D"/>
    <w:rsid w:val="00F91751"/>
    <w:rsid w:val="00F91EC5"/>
    <w:rsid w:val="00F946E1"/>
    <w:rsid w:val="00F9751D"/>
    <w:rsid w:val="00FA1D40"/>
    <w:rsid w:val="00FA6BA5"/>
    <w:rsid w:val="00FA783C"/>
    <w:rsid w:val="00FB5A71"/>
    <w:rsid w:val="00FB6410"/>
    <w:rsid w:val="00FBE5B6"/>
    <w:rsid w:val="00FC0931"/>
    <w:rsid w:val="00FC0FC8"/>
    <w:rsid w:val="00FC0FF0"/>
    <w:rsid w:val="00FC34FF"/>
    <w:rsid w:val="00FC63D5"/>
    <w:rsid w:val="00FC6A03"/>
    <w:rsid w:val="00FC7048"/>
    <w:rsid w:val="00FD735A"/>
    <w:rsid w:val="00FD778D"/>
    <w:rsid w:val="00FE1DDA"/>
    <w:rsid w:val="00FE1F21"/>
    <w:rsid w:val="00FE6C49"/>
    <w:rsid w:val="00FF2CA0"/>
    <w:rsid w:val="00FF4DDA"/>
    <w:rsid w:val="00FF75FE"/>
    <w:rsid w:val="00FF7747"/>
    <w:rsid w:val="00FF7F57"/>
    <w:rsid w:val="012D5C49"/>
    <w:rsid w:val="013E473E"/>
    <w:rsid w:val="016F8D2C"/>
    <w:rsid w:val="017481FB"/>
    <w:rsid w:val="01804BBC"/>
    <w:rsid w:val="01B21F0F"/>
    <w:rsid w:val="01B6BAE7"/>
    <w:rsid w:val="01F66655"/>
    <w:rsid w:val="0213ED7C"/>
    <w:rsid w:val="0216CB4A"/>
    <w:rsid w:val="022D5F0C"/>
    <w:rsid w:val="02745A7B"/>
    <w:rsid w:val="027EE969"/>
    <w:rsid w:val="02A4B0F7"/>
    <w:rsid w:val="02C7BACD"/>
    <w:rsid w:val="02D411BE"/>
    <w:rsid w:val="02D4303B"/>
    <w:rsid w:val="02F9A09F"/>
    <w:rsid w:val="0322E0BC"/>
    <w:rsid w:val="0323C1AA"/>
    <w:rsid w:val="0343E722"/>
    <w:rsid w:val="036B7F76"/>
    <w:rsid w:val="036E01B9"/>
    <w:rsid w:val="03BCFBC0"/>
    <w:rsid w:val="042A1375"/>
    <w:rsid w:val="0450FAA6"/>
    <w:rsid w:val="0454F1FF"/>
    <w:rsid w:val="045BB261"/>
    <w:rsid w:val="045DBF4C"/>
    <w:rsid w:val="0475F480"/>
    <w:rsid w:val="047FF613"/>
    <w:rsid w:val="048CE8FD"/>
    <w:rsid w:val="04937232"/>
    <w:rsid w:val="04A3AC49"/>
    <w:rsid w:val="04B8D046"/>
    <w:rsid w:val="04C8FF63"/>
    <w:rsid w:val="04C9B88B"/>
    <w:rsid w:val="04CBE6AB"/>
    <w:rsid w:val="04D97370"/>
    <w:rsid w:val="0510C9F8"/>
    <w:rsid w:val="05340DAC"/>
    <w:rsid w:val="05430235"/>
    <w:rsid w:val="054810B3"/>
    <w:rsid w:val="05555D34"/>
    <w:rsid w:val="056BFA05"/>
    <w:rsid w:val="0597C438"/>
    <w:rsid w:val="05B7DBAE"/>
    <w:rsid w:val="05CCE1AB"/>
    <w:rsid w:val="05D87665"/>
    <w:rsid w:val="05DED700"/>
    <w:rsid w:val="06382FD7"/>
    <w:rsid w:val="063D50DF"/>
    <w:rsid w:val="064EC8FD"/>
    <w:rsid w:val="068B104C"/>
    <w:rsid w:val="06C261EE"/>
    <w:rsid w:val="06EC06DE"/>
    <w:rsid w:val="07028F02"/>
    <w:rsid w:val="07054262"/>
    <w:rsid w:val="0711D0C8"/>
    <w:rsid w:val="0717C536"/>
    <w:rsid w:val="071BFDE6"/>
    <w:rsid w:val="071D7B49"/>
    <w:rsid w:val="0729B256"/>
    <w:rsid w:val="074EDE46"/>
    <w:rsid w:val="076F6F82"/>
    <w:rsid w:val="07A3EDAE"/>
    <w:rsid w:val="07D00646"/>
    <w:rsid w:val="07EF9D71"/>
    <w:rsid w:val="080CCE70"/>
    <w:rsid w:val="081C74CF"/>
    <w:rsid w:val="081D1DD6"/>
    <w:rsid w:val="082C317A"/>
    <w:rsid w:val="08332781"/>
    <w:rsid w:val="083F3BDA"/>
    <w:rsid w:val="0844A8B6"/>
    <w:rsid w:val="0845B3D7"/>
    <w:rsid w:val="085D8946"/>
    <w:rsid w:val="08A1C990"/>
    <w:rsid w:val="08AA7F0E"/>
    <w:rsid w:val="08B37C40"/>
    <w:rsid w:val="08EB42C3"/>
    <w:rsid w:val="08FA4B72"/>
    <w:rsid w:val="0905AA1E"/>
    <w:rsid w:val="090ED463"/>
    <w:rsid w:val="0917A721"/>
    <w:rsid w:val="09557B09"/>
    <w:rsid w:val="095B472A"/>
    <w:rsid w:val="097541CC"/>
    <w:rsid w:val="098151ED"/>
    <w:rsid w:val="09B24E8D"/>
    <w:rsid w:val="09B8F567"/>
    <w:rsid w:val="09C978B6"/>
    <w:rsid w:val="09EFDCB4"/>
    <w:rsid w:val="09F56399"/>
    <w:rsid w:val="0A048DBC"/>
    <w:rsid w:val="0A275D4E"/>
    <w:rsid w:val="0A4F2FCA"/>
    <w:rsid w:val="0A5DB2DF"/>
    <w:rsid w:val="0AC6226D"/>
    <w:rsid w:val="0B0A10E7"/>
    <w:rsid w:val="0B0FC42A"/>
    <w:rsid w:val="0B1AC8CB"/>
    <w:rsid w:val="0B26FBAB"/>
    <w:rsid w:val="0B343FD8"/>
    <w:rsid w:val="0B71FD77"/>
    <w:rsid w:val="0B9183F0"/>
    <w:rsid w:val="0B937287"/>
    <w:rsid w:val="0BA37ACF"/>
    <w:rsid w:val="0BC1E8AD"/>
    <w:rsid w:val="0BC49E12"/>
    <w:rsid w:val="0BD93AB6"/>
    <w:rsid w:val="0BDE379E"/>
    <w:rsid w:val="0BE44033"/>
    <w:rsid w:val="0BEFD41F"/>
    <w:rsid w:val="0C06CD49"/>
    <w:rsid w:val="0C0C1C3B"/>
    <w:rsid w:val="0C1A8B92"/>
    <w:rsid w:val="0C34CEAD"/>
    <w:rsid w:val="0C407D06"/>
    <w:rsid w:val="0C44532A"/>
    <w:rsid w:val="0C468341"/>
    <w:rsid w:val="0C5B5811"/>
    <w:rsid w:val="0C698F21"/>
    <w:rsid w:val="0CB35ECE"/>
    <w:rsid w:val="0CB4C6D0"/>
    <w:rsid w:val="0CBA9D1E"/>
    <w:rsid w:val="0CE73309"/>
    <w:rsid w:val="0CFD12EF"/>
    <w:rsid w:val="0D12C4C0"/>
    <w:rsid w:val="0D171D00"/>
    <w:rsid w:val="0D522D24"/>
    <w:rsid w:val="0D6D306D"/>
    <w:rsid w:val="0D8BAB6F"/>
    <w:rsid w:val="0D904DFA"/>
    <w:rsid w:val="0DA9B315"/>
    <w:rsid w:val="0DBA531A"/>
    <w:rsid w:val="0DC0971C"/>
    <w:rsid w:val="0DD7A2E6"/>
    <w:rsid w:val="0DDDAF82"/>
    <w:rsid w:val="0DF7FA87"/>
    <w:rsid w:val="0E04C4A9"/>
    <w:rsid w:val="0E49711C"/>
    <w:rsid w:val="0E4A5B8C"/>
    <w:rsid w:val="0E7421E7"/>
    <w:rsid w:val="0E96F4BC"/>
    <w:rsid w:val="0E9DF888"/>
    <w:rsid w:val="0EAD05ED"/>
    <w:rsid w:val="0EBA46ED"/>
    <w:rsid w:val="0F15CD99"/>
    <w:rsid w:val="0F28B912"/>
    <w:rsid w:val="0F294D44"/>
    <w:rsid w:val="0F2A431D"/>
    <w:rsid w:val="0F2DAF50"/>
    <w:rsid w:val="0F63BF07"/>
    <w:rsid w:val="0F7B88BB"/>
    <w:rsid w:val="0F85C60B"/>
    <w:rsid w:val="0FE02636"/>
    <w:rsid w:val="1023101D"/>
    <w:rsid w:val="102620C8"/>
    <w:rsid w:val="103A0F9D"/>
    <w:rsid w:val="103FF07D"/>
    <w:rsid w:val="10404CDB"/>
    <w:rsid w:val="1081DC2A"/>
    <w:rsid w:val="108BC306"/>
    <w:rsid w:val="10F1FBA7"/>
    <w:rsid w:val="111466A6"/>
    <w:rsid w:val="111CD3FD"/>
    <w:rsid w:val="113864B1"/>
    <w:rsid w:val="115B122C"/>
    <w:rsid w:val="1181C4C9"/>
    <w:rsid w:val="1184EDE4"/>
    <w:rsid w:val="119FD619"/>
    <w:rsid w:val="11A521E6"/>
    <w:rsid w:val="11B84575"/>
    <w:rsid w:val="11BE0A4B"/>
    <w:rsid w:val="11EB4505"/>
    <w:rsid w:val="11F66014"/>
    <w:rsid w:val="122025F9"/>
    <w:rsid w:val="125139D3"/>
    <w:rsid w:val="12669BF3"/>
    <w:rsid w:val="126D25CD"/>
    <w:rsid w:val="128AF6C3"/>
    <w:rsid w:val="129B4747"/>
    <w:rsid w:val="129E774D"/>
    <w:rsid w:val="12B4A4AA"/>
    <w:rsid w:val="12C6123F"/>
    <w:rsid w:val="12C66F36"/>
    <w:rsid w:val="12E2FA6D"/>
    <w:rsid w:val="12E5B912"/>
    <w:rsid w:val="13006F5B"/>
    <w:rsid w:val="1309017C"/>
    <w:rsid w:val="13189AC6"/>
    <w:rsid w:val="131907DC"/>
    <w:rsid w:val="131A0B76"/>
    <w:rsid w:val="1341E79D"/>
    <w:rsid w:val="13566653"/>
    <w:rsid w:val="135CF210"/>
    <w:rsid w:val="1367A986"/>
    <w:rsid w:val="1374EB43"/>
    <w:rsid w:val="139F35A6"/>
    <w:rsid w:val="13AF45F7"/>
    <w:rsid w:val="13F65476"/>
    <w:rsid w:val="13FB9B9B"/>
    <w:rsid w:val="143AE900"/>
    <w:rsid w:val="14519E43"/>
    <w:rsid w:val="145B1799"/>
    <w:rsid w:val="148A2A2E"/>
    <w:rsid w:val="149F4B02"/>
    <w:rsid w:val="14A622F1"/>
    <w:rsid w:val="14AD0DFC"/>
    <w:rsid w:val="14BC05CB"/>
    <w:rsid w:val="1501474E"/>
    <w:rsid w:val="150D2BF3"/>
    <w:rsid w:val="151D6A78"/>
    <w:rsid w:val="15606FE4"/>
    <w:rsid w:val="1578365B"/>
    <w:rsid w:val="15861908"/>
    <w:rsid w:val="159BBD6A"/>
    <w:rsid w:val="15C74A51"/>
    <w:rsid w:val="15C7EFF9"/>
    <w:rsid w:val="15E94A0F"/>
    <w:rsid w:val="15F1AE5E"/>
    <w:rsid w:val="16107596"/>
    <w:rsid w:val="1618E0FC"/>
    <w:rsid w:val="1628775E"/>
    <w:rsid w:val="16308D3A"/>
    <w:rsid w:val="16314778"/>
    <w:rsid w:val="164EB972"/>
    <w:rsid w:val="1656EF16"/>
    <w:rsid w:val="1681945A"/>
    <w:rsid w:val="1684581E"/>
    <w:rsid w:val="16F8686F"/>
    <w:rsid w:val="16FFFB16"/>
    <w:rsid w:val="1727633E"/>
    <w:rsid w:val="172F5FE4"/>
    <w:rsid w:val="173A8EDB"/>
    <w:rsid w:val="1741224E"/>
    <w:rsid w:val="17B39063"/>
    <w:rsid w:val="17BF3476"/>
    <w:rsid w:val="17D2AC14"/>
    <w:rsid w:val="17DB0BEC"/>
    <w:rsid w:val="17DB9C22"/>
    <w:rsid w:val="17E11278"/>
    <w:rsid w:val="18062386"/>
    <w:rsid w:val="1842B5A2"/>
    <w:rsid w:val="1842F6D4"/>
    <w:rsid w:val="1860091D"/>
    <w:rsid w:val="18902722"/>
    <w:rsid w:val="189BF004"/>
    <w:rsid w:val="18B51B46"/>
    <w:rsid w:val="18BCC04D"/>
    <w:rsid w:val="18BF40AB"/>
    <w:rsid w:val="18CA8C65"/>
    <w:rsid w:val="18D72310"/>
    <w:rsid w:val="18D9A4AF"/>
    <w:rsid w:val="18E5EDB6"/>
    <w:rsid w:val="18F6653C"/>
    <w:rsid w:val="19049C32"/>
    <w:rsid w:val="190ACD17"/>
    <w:rsid w:val="191610A2"/>
    <w:rsid w:val="191AC297"/>
    <w:rsid w:val="191FD059"/>
    <w:rsid w:val="1922B71C"/>
    <w:rsid w:val="192E405E"/>
    <w:rsid w:val="194F7F4B"/>
    <w:rsid w:val="198515F7"/>
    <w:rsid w:val="1988B760"/>
    <w:rsid w:val="19B957EE"/>
    <w:rsid w:val="1A0B37F1"/>
    <w:rsid w:val="1A219F6A"/>
    <w:rsid w:val="1A23E446"/>
    <w:rsid w:val="1A3AB37C"/>
    <w:rsid w:val="1A3D2420"/>
    <w:rsid w:val="1A501093"/>
    <w:rsid w:val="1A7B8047"/>
    <w:rsid w:val="1A81F203"/>
    <w:rsid w:val="1A922293"/>
    <w:rsid w:val="1AA2EB9F"/>
    <w:rsid w:val="1ABBE672"/>
    <w:rsid w:val="1AC3C574"/>
    <w:rsid w:val="1AC481D3"/>
    <w:rsid w:val="1B02052B"/>
    <w:rsid w:val="1B0C6541"/>
    <w:rsid w:val="1B0D5EDD"/>
    <w:rsid w:val="1B10A560"/>
    <w:rsid w:val="1B3815AB"/>
    <w:rsid w:val="1B3FF5FE"/>
    <w:rsid w:val="1B631BCE"/>
    <w:rsid w:val="1BC384DA"/>
    <w:rsid w:val="1BC4D331"/>
    <w:rsid w:val="1BC53966"/>
    <w:rsid w:val="1BD0F406"/>
    <w:rsid w:val="1BF4BF95"/>
    <w:rsid w:val="1BFF8FFE"/>
    <w:rsid w:val="1C1D9E11"/>
    <w:rsid w:val="1C31FC7D"/>
    <w:rsid w:val="1C364710"/>
    <w:rsid w:val="1C5AF3B2"/>
    <w:rsid w:val="1C5E80B1"/>
    <w:rsid w:val="1C6549EF"/>
    <w:rsid w:val="1CAC521B"/>
    <w:rsid w:val="1CB6D0A3"/>
    <w:rsid w:val="1CB81393"/>
    <w:rsid w:val="1CBBF49B"/>
    <w:rsid w:val="1CC46AF5"/>
    <w:rsid w:val="1CC53009"/>
    <w:rsid w:val="1CE2197A"/>
    <w:rsid w:val="1CF61FF3"/>
    <w:rsid w:val="1D0A506E"/>
    <w:rsid w:val="1D15E2B5"/>
    <w:rsid w:val="1D341F56"/>
    <w:rsid w:val="1D51CA15"/>
    <w:rsid w:val="1D63C05E"/>
    <w:rsid w:val="1D7E954D"/>
    <w:rsid w:val="1D7FA208"/>
    <w:rsid w:val="1DA0A3A1"/>
    <w:rsid w:val="1DC2FF63"/>
    <w:rsid w:val="1DCC54AF"/>
    <w:rsid w:val="1DD07CAF"/>
    <w:rsid w:val="1DDFC139"/>
    <w:rsid w:val="1DE406F9"/>
    <w:rsid w:val="1DEAB199"/>
    <w:rsid w:val="1E02B768"/>
    <w:rsid w:val="1E2398E2"/>
    <w:rsid w:val="1E542128"/>
    <w:rsid w:val="1E6CD208"/>
    <w:rsid w:val="1E77B208"/>
    <w:rsid w:val="1EA745CB"/>
    <w:rsid w:val="1EAAB7D7"/>
    <w:rsid w:val="1EBEAAE8"/>
    <w:rsid w:val="1ECFB4B6"/>
    <w:rsid w:val="1EE3F74B"/>
    <w:rsid w:val="1EE8F89C"/>
    <w:rsid w:val="1F0FF311"/>
    <w:rsid w:val="1F206ED4"/>
    <w:rsid w:val="1F2A160A"/>
    <w:rsid w:val="1F4DB0C6"/>
    <w:rsid w:val="1F7C4CD8"/>
    <w:rsid w:val="1F81C6CE"/>
    <w:rsid w:val="1F93E42D"/>
    <w:rsid w:val="1F93F853"/>
    <w:rsid w:val="1F9B88C2"/>
    <w:rsid w:val="1FA0BE5A"/>
    <w:rsid w:val="1FB91102"/>
    <w:rsid w:val="1FD5BC1E"/>
    <w:rsid w:val="1FE59576"/>
    <w:rsid w:val="203D350A"/>
    <w:rsid w:val="203F466B"/>
    <w:rsid w:val="2050B599"/>
    <w:rsid w:val="2053B19C"/>
    <w:rsid w:val="207DEED6"/>
    <w:rsid w:val="20805CDB"/>
    <w:rsid w:val="208DA4B2"/>
    <w:rsid w:val="208E6F23"/>
    <w:rsid w:val="20919F85"/>
    <w:rsid w:val="20A33AD9"/>
    <w:rsid w:val="20A88384"/>
    <w:rsid w:val="20B963AF"/>
    <w:rsid w:val="20BDC63B"/>
    <w:rsid w:val="2112EBBE"/>
    <w:rsid w:val="2119549B"/>
    <w:rsid w:val="21293407"/>
    <w:rsid w:val="2161A294"/>
    <w:rsid w:val="21B5AD97"/>
    <w:rsid w:val="21B7A264"/>
    <w:rsid w:val="21CBE238"/>
    <w:rsid w:val="21CE05F7"/>
    <w:rsid w:val="21EEC208"/>
    <w:rsid w:val="21F5C6BA"/>
    <w:rsid w:val="220390BC"/>
    <w:rsid w:val="221D22DB"/>
    <w:rsid w:val="222E48AB"/>
    <w:rsid w:val="2260ED7F"/>
    <w:rsid w:val="2276B1C6"/>
    <w:rsid w:val="227C6FC7"/>
    <w:rsid w:val="22802C8E"/>
    <w:rsid w:val="22903F5C"/>
    <w:rsid w:val="2294AAC7"/>
    <w:rsid w:val="229960C4"/>
    <w:rsid w:val="22A47C62"/>
    <w:rsid w:val="22C6E5BD"/>
    <w:rsid w:val="22F55FE1"/>
    <w:rsid w:val="2311D2FE"/>
    <w:rsid w:val="23287C3D"/>
    <w:rsid w:val="232CC3C1"/>
    <w:rsid w:val="233AB041"/>
    <w:rsid w:val="2348D13F"/>
    <w:rsid w:val="2349E5F7"/>
    <w:rsid w:val="234A7152"/>
    <w:rsid w:val="235D2E5E"/>
    <w:rsid w:val="2388C850"/>
    <w:rsid w:val="23A41C92"/>
    <w:rsid w:val="23D15FDA"/>
    <w:rsid w:val="23D5CCEE"/>
    <w:rsid w:val="23E67147"/>
    <w:rsid w:val="24218948"/>
    <w:rsid w:val="24312BF8"/>
    <w:rsid w:val="244793CC"/>
    <w:rsid w:val="24500882"/>
    <w:rsid w:val="24A706AC"/>
    <w:rsid w:val="24B2A4C8"/>
    <w:rsid w:val="24C95F9A"/>
    <w:rsid w:val="24D05BBC"/>
    <w:rsid w:val="24E3F31C"/>
    <w:rsid w:val="24F6A351"/>
    <w:rsid w:val="2515623E"/>
    <w:rsid w:val="2525FD93"/>
    <w:rsid w:val="25261809"/>
    <w:rsid w:val="254F0CD5"/>
    <w:rsid w:val="25A53568"/>
    <w:rsid w:val="25A5CF07"/>
    <w:rsid w:val="25C56EC6"/>
    <w:rsid w:val="25D02176"/>
    <w:rsid w:val="25D25541"/>
    <w:rsid w:val="25DC373A"/>
    <w:rsid w:val="25ED0583"/>
    <w:rsid w:val="26532A2A"/>
    <w:rsid w:val="265DEF7F"/>
    <w:rsid w:val="265E24D5"/>
    <w:rsid w:val="26674C7F"/>
    <w:rsid w:val="2670E7C8"/>
    <w:rsid w:val="2689629B"/>
    <w:rsid w:val="26A58503"/>
    <w:rsid w:val="26A5D935"/>
    <w:rsid w:val="26A76044"/>
    <w:rsid w:val="26BA21E4"/>
    <w:rsid w:val="26BD0D47"/>
    <w:rsid w:val="26C16850"/>
    <w:rsid w:val="26CB1D67"/>
    <w:rsid w:val="26D5031E"/>
    <w:rsid w:val="2707B377"/>
    <w:rsid w:val="271B7B17"/>
    <w:rsid w:val="2722CCC3"/>
    <w:rsid w:val="273A457B"/>
    <w:rsid w:val="274319D6"/>
    <w:rsid w:val="2762A34A"/>
    <w:rsid w:val="277D1B53"/>
    <w:rsid w:val="27A7B071"/>
    <w:rsid w:val="27AF7406"/>
    <w:rsid w:val="27D7C07E"/>
    <w:rsid w:val="27E44F9E"/>
    <w:rsid w:val="27E649BC"/>
    <w:rsid w:val="28036F11"/>
    <w:rsid w:val="2807C687"/>
    <w:rsid w:val="2825F4CC"/>
    <w:rsid w:val="28361569"/>
    <w:rsid w:val="287D1027"/>
    <w:rsid w:val="28C8B9D2"/>
    <w:rsid w:val="28C9778D"/>
    <w:rsid w:val="28E06F73"/>
    <w:rsid w:val="28FC62C3"/>
    <w:rsid w:val="29053103"/>
    <w:rsid w:val="29259825"/>
    <w:rsid w:val="292BEA71"/>
    <w:rsid w:val="296E128E"/>
    <w:rsid w:val="2985008A"/>
    <w:rsid w:val="2999F685"/>
    <w:rsid w:val="29C22203"/>
    <w:rsid w:val="29C9F1BD"/>
    <w:rsid w:val="2A122A9D"/>
    <w:rsid w:val="2A6300C5"/>
    <w:rsid w:val="2AA50188"/>
    <w:rsid w:val="2AADA260"/>
    <w:rsid w:val="2AB545A3"/>
    <w:rsid w:val="2AB965F3"/>
    <w:rsid w:val="2ACC0A3C"/>
    <w:rsid w:val="2B17855A"/>
    <w:rsid w:val="2B3799F4"/>
    <w:rsid w:val="2B4307DB"/>
    <w:rsid w:val="2B5A79BB"/>
    <w:rsid w:val="2B773526"/>
    <w:rsid w:val="2B7A6175"/>
    <w:rsid w:val="2B9AFF07"/>
    <w:rsid w:val="2BBA5F0A"/>
    <w:rsid w:val="2BE65908"/>
    <w:rsid w:val="2BE87CD4"/>
    <w:rsid w:val="2BF95F90"/>
    <w:rsid w:val="2C163BFB"/>
    <w:rsid w:val="2C55B29B"/>
    <w:rsid w:val="2C6B0657"/>
    <w:rsid w:val="2C8D6D39"/>
    <w:rsid w:val="2CAECA31"/>
    <w:rsid w:val="2CF5DA58"/>
    <w:rsid w:val="2D2FF5D0"/>
    <w:rsid w:val="2D35393A"/>
    <w:rsid w:val="2D3DF7B6"/>
    <w:rsid w:val="2D637CF4"/>
    <w:rsid w:val="2D8B19A9"/>
    <w:rsid w:val="2DCD4AFA"/>
    <w:rsid w:val="2DD3D4D8"/>
    <w:rsid w:val="2E450E0E"/>
    <w:rsid w:val="2E63E261"/>
    <w:rsid w:val="2E9D56D7"/>
    <w:rsid w:val="2EBA10E1"/>
    <w:rsid w:val="2ECA866F"/>
    <w:rsid w:val="2ECBCC44"/>
    <w:rsid w:val="2EF13AA4"/>
    <w:rsid w:val="2EF9B8C3"/>
    <w:rsid w:val="2F0FCB3E"/>
    <w:rsid w:val="2F37745B"/>
    <w:rsid w:val="2F3BE0CE"/>
    <w:rsid w:val="2F62067D"/>
    <w:rsid w:val="2F8D845B"/>
    <w:rsid w:val="2F8E7282"/>
    <w:rsid w:val="2F8EAF31"/>
    <w:rsid w:val="2F90D6E4"/>
    <w:rsid w:val="2F91F038"/>
    <w:rsid w:val="2FAFB929"/>
    <w:rsid w:val="2FBA8FFC"/>
    <w:rsid w:val="2FBFAD12"/>
    <w:rsid w:val="2FE55A80"/>
    <w:rsid w:val="2FF1B095"/>
    <w:rsid w:val="303982EF"/>
    <w:rsid w:val="306ECEA7"/>
    <w:rsid w:val="308E43E1"/>
    <w:rsid w:val="30A9B9B4"/>
    <w:rsid w:val="30AF98DE"/>
    <w:rsid w:val="30D29B63"/>
    <w:rsid w:val="30D6F538"/>
    <w:rsid w:val="30F0251B"/>
    <w:rsid w:val="30F87925"/>
    <w:rsid w:val="3116F9CB"/>
    <w:rsid w:val="3118F9F0"/>
    <w:rsid w:val="31298CE7"/>
    <w:rsid w:val="31887418"/>
    <w:rsid w:val="3199A380"/>
    <w:rsid w:val="319FE3FD"/>
    <w:rsid w:val="31AEFF58"/>
    <w:rsid w:val="31B0E4C6"/>
    <w:rsid w:val="31B42A9D"/>
    <w:rsid w:val="31B94873"/>
    <w:rsid w:val="31C1EA99"/>
    <w:rsid w:val="31C2B849"/>
    <w:rsid w:val="31C8DC8C"/>
    <w:rsid w:val="31DF2B3C"/>
    <w:rsid w:val="31F184E6"/>
    <w:rsid w:val="32213E4A"/>
    <w:rsid w:val="32492214"/>
    <w:rsid w:val="3267833E"/>
    <w:rsid w:val="327F3410"/>
    <w:rsid w:val="32A7B09F"/>
    <w:rsid w:val="32AB5FA4"/>
    <w:rsid w:val="32B018EB"/>
    <w:rsid w:val="32CE9A06"/>
    <w:rsid w:val="32D49132"/>
    <w:rsid w:val="32D499B3"/>
    <w:rsid w:val="33012732"/>
    <w:rsid w:val="330ED54E"/>
    <w:rsid w:val="331C8A6F"/>
    <w:rsid w:val="33988751"/>
    <w:rsid w:val="33A10969"/>
    <w:rsid w:val="33AFD921"/>
    <w:rsid w:val="33B114B2"/>
    <w:rsid w:val="33E2CB4C"/>
    <w:rsid w:val="33FF55C7"/>
    <w:rsid w:val="342E3971"/>
    <w:rsid w:val="3442F2D8"/>
    <w:rsid w:val="3445E07E"/>
    <w:rsid w:val="34587224"/>
    <w:rsid w:val="34822EF2"/>
    <w:rsid w:val="34844640"/>
    <w:rsid w:val="34ED2542"/>
    <w:rsid w:val="34EED6AA"/>
    <w:rsid w:val="34EF8DCB"/>
    <w:rsid w:val="35068DC8"/>
    <w:rsid w:val="350A5B16"/>
    <w:rsid w:val="350CCEE2"/>
    <w:rsid w:val="351086F2"/>
    <w:rsid w:val="351151DC"/>
    <w:rsid w:val="3512F188"/>
    <w:rsid w:val="355E0B2A"/>
    <w:rsid w:val="3569A9E0"/>
    <w:rsid w:val="35A7339B"/>
    <w:rsid w:val="35B57784"/>
    <w:rsid w:val="35BA4092"/>
    <w:rsid w:val="35CFEFC3"/>
    <w:rsid w:val="35D01A8B"/>
    <w:rsid w:val="3602E0DD"/>
    <w:rsid w:val="36089893"/>
    <w:rsid w:val="360C2F32"/>
    <w:rsid w:val="360EEFCD"/>
    <w:rsid w:val="363631D4"/>
    <w:rsid w:val="36880AB0"/>
    <w:rsid w:val="3689DF94"/>
    <w:rsid w:val="3690332D"/>
    <w:rsid w:val="36A35C1F"/>
    <w:rsid w:val="36A4DF3F"/>
    <w:rsid w:val="36B47CC0"/>
    <w:rsid w:val="36DD6F67"/>
    <w:rsid w:val="37001170"/>
    <w:rsid w:val="37072C05"/>
    <w:rsid w:val="371E5418"/>
    <w:rsid w:val="37399D26"/>
    <w:rsid w:val="375471C0"/>
    <w:rsid w:val="376D62C8"/>
    <w:rsid w:val="3780C214"/>
    <w:rsid w:val="37971169"/>
    <w:rsid w:val="37A0C30D"/>
    <w:rsid w:val="37DD1473"/>
    <w:rsid w:val="37E3E71B"/>
    <w:rsid w:val="37FDA0A8"/>
    <w:rsid w:val="380A03CB"/>
    <w:rsid w:val="384D1161"/>
    <w:rsid w:val="38683CFC"/>
    <w:rsid w:val="387C25AE"/>
    <w:rsid w:val="388DB8E0"/>
    <w:rsid w:val="3896A6D9"/>
    <w:rsid w:val="38BD4F48"/>
    <w:rsid w:val="38C34FA7"/>
    <w:rsid w:val="38C537AC"/>
    <w:rsid w:val="38C5EFB1"/>
    <w:rsid w:val="38EF2BC2"/>
    <w:rsid w:val="390566C0"/>
    <w:rsid w:val="3956C429"/>
    <w:rsid w:val="395D4BDE"/>
    <w:rsid w:val="39811874"/>
    <w:rsid w:val="398D0548"/>
    <w:rsid w:val="399CAA84"/>
    <w:rsid w:val="39AC5284"/>
    <w:rsid w:val="39CD5C9B"/>
    <w:rsid w:val="39D2BAD4"/>
    <w:rsid w:val="39EBF4A2"/>
    <w:rsid w:val="39F0C4D3"/>
    <w:rsid w:val="39FC5A2D"/>
    <w:rsid w:val="3A07D0CF"/>
    <w:rsid w:val="3A12655B"/>
    <w:rsid w:val="3A137321"/>
    <w:rsid w:val="3A178ADF"/>
    <w:rsid w:val="3A17ABA6"/>
    <w:rsid w:val="3A1F14DD"/>
    <w:rsid w:val="3A204DF8"/>
    <w:rsid w:val="3A2CD6FA"/>
    <w:rsid w:val="3A3A5193"/>
    <w:rsid w:val="3A708D60"/>
    <w:rsid w:val="3A883570"/>
    <w:rsid w:val="3A98E9C5"/>
    <w:rsid w:val="3AAC948D"/>
    <w:rsid w:val="3AAFDF77"/>
    <w:rsid w:val="3AC6BB09"/>
    <w:rsid w:val="3AD12EDC"/>
    <w:rsid w:val="3ADC10C4"/>
    <w:rsid w:val="3AEA4849"/>
    <w:rsid w:val="3AED7040"/>
    <w:rsid w:val="3AFDAA9C"/>
    <w:rsid w:val="3AFEEBDD"/>
    <w:rsid w:val="3B2C0861"/>
    <w:rsid w:val="3B3AF23D"/>
    <w:rsid w:val="3B702EDA"/>
    <w:rsid w:val="3BBCB941"/>
    <w:rsid w:val="3BC09539"/>
    <w:rsid w:val="3BF2EC4D"/>
    <w:rsid w:val="3BF70C2D"/>
    <w:rsid w:val="3C1055D4"/>
    <w:rsid w:val="3C191858"/>
    <w:rsid w:val="3C2B1A4F"/>
    <w:rsid w:val="3C4B409A"/>
    <w:rsid w:val="3C4FE750"/>
    <w:rsid w:val="3C6A8378"/>
    <w:rsid w:val="3CB3F73E"/>
    <w:rsid w:val="3CBA72B1"/>
    <w:rsid w:val="3CCACAA8"/>
    <w:rsid w:val="3CF276D0"/>
    <w:rsid w:val="3CFC7AF1"/>
    <w:rsid w:val="3D119E5F"/>
    <w:rsid w:val="3D43FB55"/>
    <w:rsid w:val="3D5E0143"/>
    <w:rsid w:val="3D637892"/>
    <w:rsid w:val="3D81EC8D"/>
    <w:rsid w:val="3DA0CADF"/>
    <w:rsid w:val="3DB8E74F"/>
    <w:rsid w:val="3DD2237A"/>
    <w:rsid w:val="3DDCB554"/>
    <w:rsid w:val="3DE92F7C"/>
    <w:rsid w:val="3E1F018F"/>
    <w:rsid w:val="3E2BC33E"/>
    <w:rsid w:val="3E4D4D2B"/>
    <w:rsid w:val="3E5B5279"/>
    <w:rsid w:val="3E72CB2E"/>
    <w:rsid w:val="3E83F917"/>
    <w:rsid w:val="3E9B81DC"/>
    <w:rsid w:val="3E9ED44E"/>
    <w:rsid w:val="3EB86FB2"/>
    <w:rsid w:val="3ED3A5B1"/>
    <w:rsid w:val="3ED493EF"/>
    <w:rsid w:val="3EDCB7C6"/>
    <w:rsid w:val="3EE2B5FA"/>
    <w:rsid w:val="3EFF8EF5"/>
    <w:rsid w:val="3F419CEE"/>
    <w:rsid w:val="3F5B169F"/>
    <w:rsid w:val="3F6678E6"/>
    <w:rsid w:val="3F764657"/>
    <w:rsid w:val="3F86A7AE"/>
    <w:rsid w:val="3F871C9B"/>
    <w:rsid w:val="3F8BE077"/>
    <w:rsid w:val="3F9A5454"/>
    <w:rsid w:val="3F9AFBEB"/>
    <w:rsid w:val="3FB16EB9"/>
    <w:rsid w:val="3FD62C3C"/>
    <w:rsid w:val="3FDA5072"/>
    <w:rsid w:val="3FE097BF"/>
    <w:rsid w:val="3FE8DDA0"/>
    <w:rsid w:val="40038C8B"/>
    <w:rsid w:val="4013A998"/>
    <w:rsid w:val="40278897"/>
    <w:rsid w:val="404DEC2D"/>
    <w:rsid w:val="409399B0"/>
    <w:rsid w:val="40BB9550"/>
    <w:rsid w:val="40C32CAC"/>
    <w:rsid w:val="40E7C963"/>
    <w:rsid w:val="40E89222"/>
    <w:rsid w:val="4130FB59"/>
    <w:rsid w:val="41485A27"/>
    <w:rsid w:val="419362B4"/>
    <w:rsid w:val="41C1AE0C"/>
    <w:rsid w:val="41D34ACC"/>
    <w:rsid w:val="41EE16BC"/>
    <w:rsid w:val="4222530A"/>
    <w:rsid w:val="42251EEB"/>
    <w:rsid w:val="4225F87C"/>
    <w:rsid w:val="4238D907"/>
    <w:rsid w:val="4245358A"/>
    <w:rsid w:val="424D7D0F"/>
    <w:rsid w:val="426A1693"/>
    <w:rsid w:val="427BE9BC"/>
    <w:rsid w:val="4287BF73"/>
    <w:rsid w:val="428AF670"/>
    <w:rsid w:val="4291F49E"/>
    <w:rsid w:val="42953C07"/>
    <w:rsid w:val="42961F48"/>
    <w:rsid w:val="42AB9F8F"/>
    <w:rsid w:val="42B4F56F"/>
    <w:rsid w:val="42CD5C8B"/>
    <w:rsid w:val="42DD1E55"/>
    <w:rsid w:val="42ECAFB2"/>
    <w:rsid w:val="430F6D24"/>
    <w:rsid w:val="433D7B38"/>
    <w:rsid w:val="434CBB1D"/>
    <w:rsid w:val="436F7186"/>
    <w:rsid w:val="438C5535"/>
    <w:rsid w:val="439E728E"/>
    <w:rsid w:val="43A094E0"/>
    <w:rsid w:val="43BBF9A1"/>
    <w:rsid w:val="43C10059"/>
    <w:rsid w:val="43F0338E"/>
    <w:rsid w:val="441938B6"/>
    <w:rsid w:val="446FE966"/>
    <w:rsid w:val="447BF988"/>
    <w:rsid w:val="44AC2F02"/>
    <w:rsid w:val="44BFE586"/>
    <w:rsid w:val="44CFCB2D"/>
    <w:rsid w:val="44E70699"/>
    <w:rsid w:val="44EBF0FD"/>
    <w:rsid w:val="453178E5"/>
    <w:rsid w:val="4535420F"/>
    <w:rsid w:val="454FDC42"/>
    <w:rsid w:val="45503D5C"/>
    <w:rsid w:val="455797CB"/>
    <w:rsid w:val="45764681"/>
    <w:rsid w:val="45814DCB"/>
    <w:rsid w:val="4591B77E"/>
    <w:rsid w:val="45AC16EB"/>
    <w:rsid w:val="45AEA6BC"/>
    <w:rsid w:val="45D98CA3"/>
    <w:rsid w:val="46132931"/>
    <w:rsid w:val="46711A1E"/>
    <w:rsid w:val="467C3CB6"/>
    <w:rsid w:val="46BFBBA6"/>
    <w:rsid w:val="46C8BC5B"/>
    <w:rsid w:val="46D978CB"/>
    <w:rsid w:val="46DABE83"/>
    <w:rsid w:val="46DAEC99"/>
    <w:rsid w:val="46E1A90D"/>
    <w:rsid w:val="4703813A"/>
    <w:rsid w:val="4706E519"/>
    <w:rsid w:val="471A9CF5"/>
    <w:rsid w:val="471F93DB"/>
    <w:rsid w:val="472AB627"/>
    <w:rsid w:val="472FA164"/>
    <w:rsid w:val="4735D48C"/>
    <w:rsid w:val="474C77FF"/>
    <w:rsid w:val="475197C8"/>
    <w:rsid w:val="4762748E"/>
    <w:rsid w:val="47748687"/>
    <w:rsid w:val="47A490D4"/>
    <w:rsid w:val="47ABC376"/>
    <w:rsid w:val="47C75EEB"/>
    <w:rsid w:val="47CCFDD2"/>
    <w:rsid w:val="47DC85FC"/>
    <w:rsid w:val="47EDE428"/>
    <w:rsid w:val="47FD2A34"/>
    <w:rsid w:val="48402D3E"/>
    <w:rsid w:val="484C886E"/>
    <w:rsid w:val="48559A4A"/>
    <w:rsid w:val="485DD321"/>
    <w:rsid w:val="488962DF"/>
    <w:rsid w:val="48AF29C1"/>
    <w:rsid w:val="48B88E5A"/>
    <w:rsid w:val="48EEC8C7"/>
    <w:rsid w:val="49251FD3"/>
    <w:rsid w:val="492C605E"/>
    <w:rsid w:val="4934E9F9"/>
    <w:rsid w:val="49379A0F"/>
    <w:rsid w:val="49385F97"/>
    <w:rsid w:val="493E272E"/>
    <w:rsid w:val="49471A62"/>
    <w:rsid w:val="494B484B"/>
    <w:rsid w:val="495A4472"/>
    <w:rsid w:val="498DAD67"/>
    <w:rsid w:val="49BF6AA5"/>
    <w:rsid w:val="49BFF8C2"/>
    <w:rsid w:val="49E05B3E"/>
    <w:rsid w:val="49E84AB2"/>
    <w:rsid w:val="49F01673"/>
    <w:rsid w:val="49F62BE9"/>
    <w:rsid w:val="4A151AC2"/>
    <w:rsid w:val="4A154F3E"/>
    <w:rsid w:val="4A391578"/>
    <w:rsid w:val="4A6644B8"/>
    <w:rsid w:val="4A6E99E3"/>
    <w:rsid w:val="4A856E14"/>
    <w:rsid w:val="4A8C83E3"/>
    <w:rsid w:val="4A95FAB9"/>
    <w:rsid w:val="4AB671F5"/>
    <w:rsid w:val="4AC05B9C"/>
    <w:rsid w:val="4AE6AA1B"/>
    <w:rsid w:val="4AF6964C"/>
    <w:rsid w:val="4B0171A0"/>
    <w:rsid w:val="4B047F5B"/>
    <w:rsid w:val="4B127C6F"/>
    <w:rsid w:val="4B1CCB34"/>
    <w:rsid w:val="4B24C9B4"/>
    <w:rsid w:val="4B2E1102"/>
    <w:rsid w:val="4B37DFF1"/>
    <w:rsid w:val="4B43DCF3"/>
    <w:rsid w:val="4B68A14A"/>
    <w:rsid w:val="4B6D17C3"/>
    <w:rsid w:val="4B765906"/>
    <w:rsid w:val="4B76D5F0"/>
    <w:rsid w:val="4BAEF674"/>
    <w:rsid w:val="4BEF14FE"/>
    <w:rsid w:val="4BEF1F0D"/>
    <w:rsid w:val="4C184EF6"/>
    <w:rsid w:val="4C26C1DF"/>
    <w:rsid w:val="4C278076"/>
    <w:rsid w:val="4C3919BC"/>
    <w:rsid w:val="4C691583"/>
    <w:rsid w:val="4C6DB275"/>
    <w:rsid w:val="4C702EA8"/>
    <w:rsid w:val="4C77AD4F"/>
    <w:rsid w:val="4CBA4DAD"/>
    <w:rsid w:val="4CEB5B09"/>
    <w:rsid w:val="4CF6A4C3"/>
    <w:rsid w:val="4CFA5B98"/>
    <w:rsid w:val="4D0026AA"/>
    <w:rsid w:val="4D10CD5A"/>
    <w:rsid w:val="4D2B1590"/>
    <w:rsid w:val="4D2BDFCC"/>
    <w:rsid w:val="4D7E82E6"/>
    <w:rsid w:val="4D87FFB5"/>
    <w:rsid w:val="4D985964"/>
    <w:rsid w:val="4DC6D5ED"/>
    <w:rsid w:val="4DDF5521"/>
    <w:rsid w:val="4DF1B824"/>
    <w:rsid w:val="4DFB8600"/>
    <w:rsid w:val="4E13959E"/>
    <w:rsid w:val="4E27CE34"/>
    <w:rsid w:val="4E3208B8"/>
    <w:rsid w:val="4E507F53"/>
    <w:rsid w:val="4E5545EB"/>
    <w:rsid w:val="4E785BA4"/>
    <w:rsid w:val="4E89CBD6"/>
    <w:rsid w:val="4E93371D"/>
    <w:rsid w:val="4EC62978"/>
    <w:rsid w:val="4EC8523E"/>
    <w:rsid w:val="4EF57825"/>
    <w:rsid w:val="4EF9BC6E"/>
    <w:rsid w:val="4F2759F1"/>
    <w:rsid w:val="4F3D1582"/>
    <w:rsid w:val="4F5356AB"/>
    <w:rsid w:val="4F55218A"/>
    <w:rsid w:val="4F5CB988"/>
    <w:rsid w:val="4FB35DA0"/>
    <w:rsid w:val="4FEE68AE"/>
    <w:rsid w:val="4FFBF14D"/>
    <w:rsid w:val="501E64A1"/>
    <w:rsid w:val="5079F653"/>
    <w:rsid w:val="507B1D7F"/>
    <w:rsid w:val="507C4CA3"/>
    <w:rsid w:val="508E843F"/>
    <w:rsid w:val="50954F4D"/>
    <w:rsid w:val="50AB6065"/>
    <w:rsid w:val="50C344E1"/>
    <w:rsid w:val="50D4BFE6"/>
    <w:rsid w:val="50D939E9"/>
    <w:rsid w:val="50E9998B"/>
    <w:rsid w:val="50FC4454"/>
    <w:rsid w:val="512FB15E"/>
    <w:rsid w:val="5155775E"/>
    <w:rsid w:val="515596AF"/>
    <w:rsid w:val="51582545"/>
    <w:rsid w:val="515A174C"/>
    <w:rsid w:val="518E2258"/>
    <w:rsid w:val="51A10B05"/>
    <w:rsid w:val="51B2C442"/>
    <w:rsid w:val="51C9AF57"/>
    <w:rsid w:val="51E2E7A5"/>
    <w:rsid w:val="51FC5B6A"/>
    <w:rsid w:val="520C6807"/>
    <w:rsid w:val="5211A0BE"/>
    <w:rsid w:val="522837DD"/>
    <w:rsid w:val="52322C8F"/>
    <w:rsid w:val="528696FD"/>
    <w:rsid w:val="52C42CA1"/>
    <w:rsid w:val="52D6737E"/>
    <w:rsid w:val="52EA6503"/>
    <w:rsid w:val="53042AC3"/>
    <w:rsid w:val="533E1E26"/>
    <w:rsid w:val="535662B2"/>
    <w:rsid w:val="53635F79"/>
    <w:rsid w:val="53C0A329"/>
    <w:rsid w:val="53D34D2D"/>
    <w:rsid w:val="53D75DFF"/>
    <w:rsid w:val="53E49707"/>
    <w:rsid w:val="54005562"/>
    <w:rsid w:val="5403D362"/>
    <w:rsid w:val="542E41BB"/>
    <w:rsid w:val="545BAEAF"/>
    <w:rsid w:val="546A7779"/>
    <w:rsid w:val="546CEC97"/>
    <w:rsid w:val="546D6F2C"/>
    <w:rsid w:val="5482750A"/>
    <w:rsid w:val="5497F767"/>
    <w:rsid w:val="5498AE51"/>
    <w:rsid w:val="5499045A"/>
    <w:rsid w:val="54E48D2B"/>
    <w:rsid w:val="54EB8DE6"/>
    <w:rsid w:val="54F27481"/>
    <w:rsid w:val="5503CF81"/>
    <w:rsid w:val="5512ECE4"/>
    <w:rsid w:val="5523BF0B"/>
    <w:rsid w:val="552E404A"/>
    <w:rsid w:val="553C92E1"/>
    <w:rsid w:val="55674479"/>
    <w:rsid w:val="5580BCAB"/>
    <w:rsid w:val="5592D032"/>
    <w:rsid w:val="559523DF"/>
    <w:rsid w:val="55FB978B"/>
    <w:rsid w:val="56036D13"/>
    <w:rsid w:val="5653A1A5"/>
    <w:rsid w:val="566416C0"/>
    <w:rsid w:val="56754011"/>
    <w:rsid w:val="568AF417"/>
    <w:rsid w:val="5699B9AD"/>
    <w:rsid w:val="56A2A1E4"/>
    <w:rsid w:val="56B117B2"/>
    <w:rsid w:val="56C7638F"/>
    <w:rsid w:val="56D0762E"/>
    <w:rsid w:val="56D7763C"/>
    <w:rsid w:val="56E47707"/>
    <w:rsid w:val="56E741E8"/>
    <w:rsid w:val="56FDF119"/>
    <w:rsid w:val="5717F091"/>
    <w:rsid w:val="572ED0AC"/>
    <w:rsid w:val="57347BE8"/>
    <w:rsid w:val="573F2238"/>
    <w:rsid w:val="5744FE11"/>
    <w:rsid w:val="57647DB7"/>
    <w:rsid w:val="57B7421B"/>
    <w:rsid w:val="57C1C467"/>
    <w:rsid w:val="57E248AC"/>
    <w:rsid w:val="580D861B"/>
    <w:rsid w:val="583B53C6"/>
    <w:rsid w:val="58473731"/>
    <w:rsid w:val="584C2109"/>
    <w:rsid w:val="585D6176"/>
    <w:rsid w:val="585F392E"/>
    <w:rsid w:val="586DB63D"/>
    <w:rsid w:val="58791C24"/>
    <w:rsid w:val="587AD61F"/>
    <w:rsid w:val="587B19B6"/>
    <w:rsid w:val="587B75A2"/>
    <w:rsid w:val="58A27BE1"/>
    <w:rsid w:val="58BCBEC3"/>
    <w:rsid w:val="58BD685E"/>
    <w:rsid w:val="58F50176"/>
    <w:rsid w:val="590DFCFB"/>
    <w:rsid w:val="591DFB93"/>
    <w:rsid w:val="5925C5AC"/>
    <w:rsid w:val="5933C368"/>
    <w:rsid w:val="594F2EAB"/>
    <w:rsid w:val="5970A79A"/>
    <w:rsid w:val="5981E7C9"/>
    <w:rsid w:val="598D0A91"/>
    <w:rsid w:val="59AC9FD2"/>
    <w:rsid w:val="59B26B68"/>
    <w:rsid w:val="59B26FDE"/>
    <w:rsid w:val="59D6D53E"/>
    <w:rsid w:val="59E12447"/>
    <w:rsid w:val="5A08EC9D"/>
    <w:rsid w:val="5A0B316F"/>
    <w:rsid w:val="5A209A81"/>
    <w:rsid w:val="5A2FC697"/>
    <w:rsid w:val="5A4978B5"/>
    <w:rsid w:val="5A5097A2"/>
    <w:rsid w:val="5A863FB5"/>
    <w:rsid w:val="5A929522"/>
    <w:rsid w:val="5AB7707C"/>
    <w:rsid w:val="5AD4D6FB"/>
    <w:rsid w:val="5AEABE93"/>
    <w:rsid w:val="5B20585E"/>
    <w:rsid w:val="5B20C609"/>
    <w:rsid w:val="5B2D2C67"/>
    <w:rsid w:val="5B892C18"/>
    <w:rsid w:val="5BA213B8"/>
    <w:rsid w:val="5C3EE8F3"/>
    <w:rsid w:val="5C68F8FC"/>
    <w:rsid w:val="5C986FEE"/>
    <w:rsid w:val="5CA11DA6"/>
    <w:rsid w:val="5CC7005F"/>
    <w:rsid w:val="5CD4E104"/>
    <w:rsid w:val="5CE89B47"/>
    <w:rsid w:val="5D3039DA"/>
    <w:rsid w:val="5D3950E0"/>
    <w:rsid w:val="5D3B895C"/>
    <w:rsid w:val="5D3FA598"/>
    <w:rsid w:val="5D53F771"/>
    <w:rsid w:val="5D71161D"/>
    <w:rsid w:val="5D7BEACD"/>
    <w:rsid w:val="5D8B6717"/>
    <w:rsid w:val="5D96CC75"/>
    <w:rsid w:val="5DA160DA"/>
    <w:rsid w:val="5DA8B6D6"/>
    <w:rsid w:val="5DAC53F8"/>
    <w:rsid w:val="5DB5D568"/>
    <w:rsid w:val="5DD8839D"/>
    <w:rsid w:val="5DFF28E0"/>
    <w:rsid w:val="5E049FC6"/>
    <w:rsid w:val="5E0A40BB"/>
    <w:rsid w:val="5E697F5E"/>
    <w:rsid w:val="5E74344F"/>
    <w:rsid w:val="5E9AE5AD"/>
    <w:rsid w:val="5EA1C02C"/>
    <w:rsid w:val="5EB4031E"/>
    <w:rsid w:val="5EB40D13"/>
    <w:rsid w:val="5EB881FA"/>
    <w:rsid w:val="5EB899A2"/>
    <w:rsid w:val="5EEB4B6C"/>
    <w:rsid w:val="5EFC4EE5"/>
    <w:rsid w:val="5F130350"/>
    <w:rsid w:val="5F1B7481"/>
    <w:rsid w:val="5F3B82DD"/>
    <w:rsid w:val="5F5616BA"/>
    <w:rsid w:val="5FC4F56B"/>
    <w:rsid w:val="5FCA25B6"/>
    <w:rsid w:val="60175930"/>
    <w:rsid w:val="604EC3C1"/>
    <w:rsid w:val="6083228E"/>
    <w:rsid w:val="608F3760"/>
    <w:rsid w:val="60DFD96B"/>
    <w:rsid w:val="60F8E96D"/>
    <w:rsid w:val="6103FAAB"/>
    <w:rsid w:val="6141EAD5"/>
    <w:rsid w:val="617AE6B0"/>
    <w:rsid w:val="61A6ED47"/>
    <w:rsid w:val="61BE2395"/>
    <w:rsid w:val="61BF2F68"/>
    <w:rsid w:val="61BF3B38"/>
    <w:rsid w:val="61D1F310"/>
    <w:rsid w:val="61F12E4B"/>
    <w:rsid w:val="61F562A3"/>
    <w:rsid w:val="6206E0C2"/>
    <w:rsid w:val="6212BB08"/>
    <w:rsid w:val="622BB690"/>
    <w:rsid w:val="6239758C"/>
    <w:rsid w:val="6262E18D"/>
    <w:rsid w:val="62636F7D"/>
    <w:rsid w:val="62697D8E"/>
    <w:rsid w:val="627FD431"/>
    <w:rsid w:val="6282D170"/>
    <w:rsid w:val="6294FF8A"/>
    <w:rsid w:val="62A668F4"/>
    <w:rsid w:val="62A9032F"/>
    <w:rsid w:val="62BCEB49"/>
    <w:rsid w:val="62BE3ABB"/>
    <w:rsid w:val="62CB4104"/>
    <w:rsid w:val="62D2C245"/>
    <w:rsid w:val="62D43FFE"/>
    <w:rsid w:val="62DA79F9"/>
    <w:rsid w:val="62FD2A1E"/>
    <w:rsid w:val="633A9C47"/>
    <w:rsid w:val="6345AFC4"/>
    <w:rsid w:val="6357B4DF"/>
    <w:rsid w:val="636D7F10"/>
    <w:rsid w:val="6399CF91"/>
    <w:rsid w:val="63BFA351"/>
    <w:rsid w:val="63E6A472"/>
    <w:rsid w:val="6400D0E3"/>
    <w:rsid w:val="642C0FE4"/>
    <w:rsid w:val="64498B49"/>
    <w:rsid w:val="64552543"/>
    <w:rsid w:val="645C1DD6"/>
    <w:rsid w:val="649208C5"/>
    <w:rsid w:val="6498BAF4"/>
    <w:rsid w:val="64A01F4F"/>
    <w:rsid w:val="64ACF0F9"/>
    <w:rsid w:val="64C19103"/>
    <w:rsid w:val="64C4125E"/>
    <w:rsid w:val="64CC8739"/>
    <w:rsid w:val="651CB0C9"/>
    <w:rsid w:val="6536F2C5"/>
    <w:rsid w:val="654BCAF5"/>
    <w:rsid w:val="65715033"/>
    <w:rsid w:val="65A246DA"/>
    <w:rsid w:val="65BCCFF8"/>
    <w:rsid w:val="65DA628C"/>
    <w:rsid w:val="65DA87AA"/>
    <w:rsid w:val="65E805BC"/>
    <w:rsid w:val="65F4C999"/>
    <w:rsid w:val="6618CE10"/>
    <w:rsid w:val="66197E46"/>
    <w:rsid w:val="665182C9"/>
    <w:rsid w:val="66637976"/>
    <w:rsid w:val="667063CD"/>
    <w:rsid w:val="66D2963B"/>
    <w:rsid w:val="66EA7FD9"/>
    <w:rsid w:val="670BF41A"/>
    <w:rsid w:val="672D75A0"/>
    <w:rsid w:val="67425DB7"/>
    <w:rsid w:val="674681B3"/>
    <w:rsid w:val="6756112E"/>
    <w:rsid w:val="6768CD00"/>
    <w:rsid w:val="67AB803B"/>
    <w:rsid w:val="67B73815"/>
    <w:rsid w:val="67C2CC7D"/>
    <w:rsid w:val="67D01966"/>
    <w:rsid w:val="67D31329"/>
    <w:rsid w:val="67E4CDC8"/>
    <w:rsid w:val="6804B130"/>
    <w:rsid w:val="6810B371"/>
    <w:rsid w:val="681A4815"/>
    <w:rsid w:val="681A8472"/>
    <w:rsid w:val="68683A35"/>
    <w:rsid w:val="689E8F91"/>
    <w:rsid w:val="68CDF8CD"/>
    <w:rsid w:val="68D9B1CC"/>
    <w:rsid w:val="68F16D64"/>
    <w:rsid w:val="6924C801"/>
    <w:rsid w:val="695A022F"/>
    <w:rsid w:val="695AAEA1"/>
    <w:rsid w:val="697598DD"/>
    <w:rsid w:val="69BF3FC7"/>
    <w:rsid w:val="69C7C72E"/>
    <w:rsid w:val="69C7D4CC"/>
    <w:rsid w:val="69D26FF2"/>
    <w:rsid w:val="69DED075"/>
    <w:rsid w:val="69EEEF08"/>
    <w:rsid w:val="69F9E757"/>
    <w:rsid w:val="6A015C82"/>
    <w:rsid w:val="6A3DDD9A"/>
    <w:rsid w:val="6A474552"/>
    <w:rsid w:val="6A489222"/>
    <w:rsid w:val="6A55A2B6"/>
    <w:rsid w:val="6A7537EE"/>
    <w:rsid w:val="6A82F4ED"/>
    <w:rsid w:val="6A99E552"/>
    <w:rsid w:val="6AB0066A"/>
    <w:rsid w:val="6AD5D836"/>
    <w:rsid w:val="6B080B42"/>
    <w:rsid w:val="6B12090F"/>
    <w:rsid w:val="6B1DE820"/>
    <w:rsid w:val="6B6C4429"/>
    <w:rsid w:val="6B6FD539"/>
    <w:rsid w:val="6B7A7616"/>
    <w:rsid w:val="6B864C02"/>
    <w:rsid w:val="6B9C8464"/>
    <w:rsid w:val="6BE766E1"/>
    <w:rsid w:val="6BF9B0B1"/>
    <w:rsid w:val="6C045CDA"/>
    <w:rsid w:val="6C101D85"/>
    <w:rsid w:val="6C34F29A"/>
    <w:rsid w:val="6C4E7FC7"/>
    <w:rsid w:val="6C5ED55D"/>
    <w:rsid w:val="6C6E6810"/>
    <w:rsid w:val="6C71C097"/>
    <w:rsid w:val="6C75C1CB"/>
    <w:rsid w:val="6C86C9BF"/>
    <w:rsid w:val="6C8C0D2A"/>
    <w:rsid w:val="6C8F2EBA"/>
    <w:rsid w:val="6C99732C"/>
    <w:rsid w:val="6CA14115"/>
    <w:rsid w:val="6CB226C3"/>
    <w:rsid w:val="6CB47D60"/>
    <w:rsid w:val="6CC9CE4B"/>
    <w:rsid w:val="6CE12FAA"/>
    <w:rsid w:val="6D218668"/>
    <w:rsid w:val="6D27A90A"/>
    <w:rsid w:val="6D725EED"/>
    <w:rsid w:val="6D962CAF"/>
    <w:rsid w:val="6DF271B3"/>
    <w:rsid w:val="6DFE00CF"/>
    <w:rsid w:val="6E1F63CF"/>
    <w:rsid w:val="6E5A921E"/>
    <w:rsid w:val="6E617BC8"/>
    <w:rsid w:val="6E6D9DD2"/>
    <w:rsid w:val="6E7BB817"/>
    <w:rsid w:val="6E849814"/>
    <w:rsid w:val="6E8D9BEB"/>
    <w:rsid w:val="6EA66C2C"/>
    <w:rsid w:val="6EB0BA38"/>
    <w:rsid w:val="6EB2784D"/>
    <w:rsid w:val="6EB31242"/>
    <w:rsid w:val="6EBC6530"/>
    <w:rsid w:val="6EE30158"/>
    <w:rsid w:val="6EF65C05"/>
    <w:rsid w:val="6EFF8CC5"/>
    <w:rsid w:val="6F402FE9"/>
    <w:rsid w:val="6F430EDA"/>
    <w:rsid w:val="6F6B8372"/>
    <w:rsid w:val="6F867F9B"/>
    <w:rsid w:val="6FAB7070"/>
    <w:rsid w:val="6FC7EB55"/>
    <w:rsid w:val="6FDF6834"/>
    <w:rsid w:val="6FE63303"/>
    <w:rsid w:val="6FEE75DC"/>
    <w:rsid w:val="6FF690F7"/>
    <w:rsid w:val="6FF6B080"/>
    <w:rsid w:val="6FF882AF"/>
    <w:rsid w:val="6FF9998C"/>
    <w:rsid w:val="6FFC119F"/>
    <w:rsid w:val="700319DC"/>
    <w:rsid w:val="702B903C"/>
    <w:rsid w:val="703C84EF"/>
    <w:rsid w:val="7049064C"/>
    <w:rsid w:val="704F75F3"/>
    <w:rsid w:val="7052BB7A"/>
    <w:rsid w:val="706240BD"/>
    <w:rsid w:val="7064BA1D"/>
    <w:rsid w:val="707509A1"/>
    <w:rsid w:val="7077870E"/>
    <w:rsid w:val="7089952D"/>
    <w:rsid w:val="709BAABD"/>
    <w:rsid w:val="70BD9511"/>
    <w:rsid w:val="70C608B8"/>
    <w:rsid w:val="7107A80A"/>
    <w:rsid w:val="7120085F"/>
    <w:rsid w:val="714050F6"/>
    <w:rsid w:val="71430CFF"/>
    <w:rsid w:val="714BFD34"/>
    <w:rsid w:val="71532C92"/>
    <w:rsid w:val="715C84E7"/>
    <w:rsid w:val="71A04226"/>
    <w:rsid w:val="71C9ABEE"/>
    <w:rsid w:val="71D76A6D"/>
    <w:rsid w:val="71E37159"/>
    <w:rsid w:val="72010E2C"/>
    <w:rsid w:val="72096D95"/>
    <w:rsid w:val="72105962"/>
    <w:rsid w:val="722BCBA1"/>
    <w:rsid w:val="7238FD6D"/>
    <w:rsid w:val="723B151D"/>
    <w:rsid w:val="723FB59D"/>
    <w:rsid w:val="72410A58"/>
    <w:rsid w:val="7246BD62"/>
    <w:rsid w:val="726C832A"/>
    <w:rsid w:val="728CEFB4"/>
    <w:rsid w:val="72993DC7"/>
    <w:rsid w:val="729E7F6C"/>
    <w:rsid w:val="72B18C52"/>
    <w:rsid w:val="72C45D0F"/>
    <w:rsid w:val="72C600E1"/>
    <w:rsid w:val="72F4F810"/>
    <w:rsid w:val="731607CB"/>
    <w:rsid w:val="7376D8C5"/>
    <w:rsid w:val="737864F4"/>
    <w:rsid w:val="737BF528"/>
    <w:rsid w:val="7381BBA5"/>
    <w:rsid w:val="73A66A7C"/>
    <w:rsid w:val="73E100AE"/>
    <w:rsid w:val="7408C403"/>
    <w:rsid w:val="74122AD8"/>
    <w:rsid w:val="7424F53D"/>
    <w:rsid w:val="742AD837"/>
    <w:rsid w:val="7441A2F6"/>
    <w:rsid w:val="747167A4"/>
    <w:rsid w:val="749E5EFB"/>
    <w:rsid w:val="74A28B08"/>
    <w:rsid w:val="74C91F17"/>
    <w:rsid w:val="74D373C2"/>
    <w:rsid w:val="75008EE9"/>
    <w:rsid w:val="751E8196"/>
    <w:rsid w:val="7523A4D7"/>
    <w:rsid w:val="75256F0F"/>
    <w:rsid w:val="7549247B"/>
    <w:rsid w:val="7556EF5B"/>
    <w:rsid w:val="755C6DA4"/>
    <w:rsid w:val="7562127C"/>
    <w:rsid w:val="7575FDF8"/>
    <w:rsid w:val="7577B912"/>
    <w:rsid w:val="757D6751"/>
    <w:rsid w:val="75A021E1"/>
    <w:rsid w:val="75B0D111"/>
    <w:rsid w:val="75BB49F2"/>
    <w:rsid w:val="75C72C25"/>
    <w:rsid w:val="75CDC293"/>
    <w:rsid w:val="75D16AEF"/>
    <w:rsid w:val="75DC7426"/>
    <w:rsid w:val="75E5156D"/>
    <w:rsid w:val="75E762BB"/>
    <w:rsid w:val="75F71734"/>
    <w:rsid w:val="75F857B3"/>
    <w:rsid w:val="76032B9A"/>
    <w:rsid w:val="76068666"/>
    <w:rsid w:val="762C5BE4"/>
    <w:rsid w:val="768262FC"/>
    <w:rsid w:val="76990FA1"/>
    <w:rsid w:val="76C296E6"/>
    <w:rsid w:val="76C995BF"/>
    <w:rsid w:val="76D87083"/>
    <w:rsid w:val="76FDB822"/>
    <w:rsid w:val="770FAA0F"/>
    <w:rsid w:val="777FA8E0"/>
    <w:rsid w:val="77802E44"/>
    <w:rsid w:val="778257F7"/>
    <w:rsid w:val="778B72F4"/>
    <w:rsid w:val="77975AE1"/>
    <w:rsid w:val="77A84A6B"/>
    <w:rsid w:val="77AEB011"/>
    <w:rsid w:val="77C7FDBF"/>
    <w:rsid w:val="77EE2298"/>
    <w:rsid w:val="77F425FF"/>
    <w:rsid w:val="7828D8A3"/>
    <w:rsid w:val="7829E979"/>
    <w:rsid w:val="7843A7E2"/>
    <w:rsid w:val="7843BDBC"/>
    <w:rsid w:val="7851AD2B"/>
    <w:rsid w:val="7858AA1E"/>
    <w:rsid w:val="78726B57"/>
    <w:rsid w:val="78AB1A53"/>
    <w:rsid w:val="78B54298"/>
    <w:rsid w:val="78BBF123"/>
    <w:rsid w:val="78C37618"/>
    <w:rsid w:val="78DB580F"/>
    <w:rsid w:val="78EEFF6D"/>
    <w:rsid w:val="78FA324E"/>
    <w:rsid w:val="7925FE51"/>
    <w:rsid w:val="792CE658"/>
    <w:rsid w:val="795819C1"/>
    <w:rsid w:val="796E25B6"/>
    <w:rsid w:val="7988C31D"/>
    <w:rsid w:val="798C4885"/>
    <w:rsid w:val="79AC6D77"/>
    <w:rsid w:val="79C52315"/>
    <w:rsid w:val="79EBA677"/>
    <w:rsid w:val="7A30351B"/>
    <w:rsid w:val="7A3BDD5A"/>
    <w:rsid w:val="7A479D4F"/>
    <w:rsid w:val="7A5087A8"/>
    <w:rsid w:val="7A707BAA"/>
    <w:rsid w:val="7AA5FB63"/>
    <w:rsid w:val="7AB21A35"/>
    <w:rsid w:val="7AB4D6E5"/>
    <w:rsid w:val="7AD54A00"/>
    <w:rsid w:val="7B177782"/>
    <w:rsid w:val="7B23D964"/>
    <w:rsid w:val="7B2962AC"/>
    <w:rsid w:val="7B3AE859"/>
    <w:rsid w:val="7B471C61"/>
    <w:rsid w:val="7B549E58"/>
    <w:rsid w:val="7B557B58"/>
    <w:rsid w:val="7B7BE64E"/>
    <w:rsid w:val="7B88F0AB"/>
    <w:rsid w:val="7B8D89F9"/>
    <w:rsid w:val="7BA32CC0"/>
    <w:rsid w:val="7BAE48F7"/>
    <w:rsid w:val="7BBF5E8B"/>
    <w:rsid w:val="7BCD1F00"/>
    <w:rsid w:val="7C0A371B"/>
    <w:rsid w:val="7C0CEBBE"/>
    <w:rsid w:val="7C166C8A"/>
    <w:rsid w:val="7C4E16C8"/>
    <w:rsid w:val="7C599142"/>
    <w:rsid w:val="7C69BAD0"/>
    <w:rsid w:val="7C98D912"/>
    <w:rsid w:val="7CB4CD35"/>
    <w:rsid w:val="7CBF62CB"/>
    <w:rsid w:val="7CC2415D"/>
    <w:rsid w:val="7CF1EF2E"/>
    <w:rsid w:val="7D1ED5B2"/>
    <w:rsid w:val="7D315DBF"/>
    <w:rsid w:val="7D34BA5B"/>
    <w:rsid w:val="7D4E784B"/>
    <w:rsid w:val="7D69F4EE"/>
    <w:rsid w:val="7D6F8958"/>
    <w:rsid w:val="7D895884"/>
    <w:rsid w:val="7DA30BA7"/>
    <w:rsid w:val="7DB1D6F7"/>
    <w:rsid w:val="7DC52A77"/>
    <w:rsid w:val="7DC57A11"/>
    <w:rsid w:val="7DC62C1A"/>
    <w:rsid w:val="7DE3482D"/>
    <w:rsid w:val="7DE9B7FE"/>
    <w:rsid w:val="7E145105"/>
    <w:rsid w:val="7E20FA30"/>
    <w:rsid w:val="7E3EB0F2"/>
    <w:rsid w:val="7E4D627B"/>
    <w:rsid w:val="7E91CC41"/>
    <w:rsid w:val="7E9A565B"/>
    <w:rsid w:val="7E9AD0A5"/>
    <w:rsid w:val="7EF8088E"/>
    <w:rsid w:val="7EFC6D26"/>
    <w:rsid w:val="7F046BF7"/>
    <w:rsid w:val="7F4CF1FB"/>
    <w:rsid w:val="7F794E73"/>
    <w:rsid w:val="7FAFFCDF"/>
    <w:rsid w:val="7FB0D453"/>
    <w:rsid w:val="7FF5F1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604A2F4"/>
  <w15:chartTrackingRefBased/>
  <w15:docId w15:val="{EE8B8319-ECEA-40C2-9626-AECE2649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quot;Cita textual&quot;Normal"/>
    <w:qFormat/>
    <w:rsid w:val="006A794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A79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483983"/>
    <w:pPr>
      <w:keepNext/>
      <w:spacing w:before="240" w:after="60"/>
      <w:ind w:firstLine="567"/>
      <w:jc w:val="both"/>
      <w:outlineLvl w:val="1"/>
    </w:pPr>
    <w:rPr>
      <w:rFonts w:ascii="Arial" w:eastAsia="Calibri" w:hAnsi="Arial" w:cs="Arial"/>
      <w:b/>
      <w:bCs/>
      <w:i/>
      <w:iCs/>
      <w:sz w:val="28"/>
      <w:szCs w:val="28"/>
      <w:lang w:val="es-ES_tradnl" w:eastAsia="en-US"/>
    </w:rPr>
  </w:style>
  <w:style w:type="paragraph" w:styleId="Ttulo3">
    <w:name w:val="heading 3"/>
    <w:basedOn w:val="Normal"/>
    <w:next w:val="Normal"/>
    <w:link w:val="Ttulo3Car"/>
    <w:qFormat/>
    <w:rsid w:val="00483983"/>
    <w:pPr>
      <w:keepNext/>
      <w:spacing w:before="240" w:after="60"/>
      <w:ind w:firstLine="567"/>
      <w:jc w:val="both"/>
      <w:outlineLvl w:val="2"/>
    </w:pPr>
    <w:rPr>
      <w:rFonts w:ascii="Arial" w:eastAsia="Calibri" w:hAnsi="Arial" w:cs="Arial"/>
      <w:b/>
      <w:bCs/>
      <w:sz w:val="20"/>
      <w:szCs w:val="26"/>
      <w:lang w:val="es-ES_tradnl" w:eastAsia="en-US"/>
    </w:rPr>
  </w:style>
  <w:style w:type="paragraph" w:styleId="Ttulo4">
    <w:name w:val="heading 4"/>
    <w:basedOn w:val="Normal"/>
    <w:next w:val="Normal"/>
    <w:link w:val="Ttulo4Car"/>
    <w:qFormat/>
    <w:rsid w:val="00483983"/>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rsid w:val="00483983"/>
    <w:pPr>
      <w:keepNext/>
      <w:tabs>
        <w:tab w:val="left" w:pos="7200"/>
      </w:tabs>
      <w:ind w:right="44"/>
      <w:jc w:val="center"/>
      <w:outlineLvl w:val="4"/>
    </w:pPr>
    <w:rPr>
      <w:rFonts w:eastAsia="Calibri"/>
      <w:b/>
      <w:sz w:val="28"/>
      <w:szCs w:val="20"/>
      <w:lang w:eastAsia="en-US"/>
    </w:rPr>
  </w:style>
  <w:style w:type="paragraph" w:styleId="Ttulo6">
    <w:name w:val="heading 6"/>
    <w:basedOn w:val="Normal"/>
    <w:next w:val="Normal"/>
    <w:link w:val="Ttulo6Car"/>
    <w:qFormat/>
    <w:rsid w:val="00483983"/>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483983"/>
    <w:pPr>
      <w:keepNext/>
      <w:jc w:val="center"/>
      <w:outlineLvl w:val="6"/>
    </w:pPr>
    <w:rPr>
      <w:sz w:val="52"/>
      <w:szCs w:val="20"/>
    </w:rPr>
  </w:style>
  <w:style w:type="paragraph" w:styleId="Ttulo8">
    <w:name w:val="heading 8"/>
    <w:basedOn w:val="Normal"/>
    <w:next w:val="Normal"/>
    <w:link w:val="Ttulo8Car"/>
    <w:qFormat/>
    <w:rsid w:val="00483983"/>
    <w:pPr>
      <w:tabs>
        <w:tab w:val="num" w:pos="1440"/>
      </w:tabs>
      <w:spacing w:before="240" w:after="60"/>
      <w:ind w:left="1440" w:hanging="1440"/>
      <w:outlineLvl w:val="7"/>
    </w:pPr>
    <w:rPr>
      <w:i/>
      <w:iCs/>
    </w:rPr>
  </w:style>
  <w:style w:type="paragraph" w:styleId="Ttulo9">
    <w:name w:val="heading 9"/>
    <w:basedOn w:val="Normal"/>
    <w:next w:val="Normal"/>
    <w:link w:val="Ttulo9Car"/>
    <w:qFormat/>
    <w:rsid w:val="00483983"/>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6A794C"/>
    <w:pPr>
      <w:tabs>
        <w:tab w:val="center" w:pos="2835"/>
        <w:tab w:val="center" w:pos="3969"/>
        <w:tab w:val="center" w:pos="5103"/>
        <w:tab w:val="center" w:pos="6237"/>
        <w:tab w:val="center" w:pos="7371"/>
      </w:tabs>
      <w:ind w:firstLine="284"/>
    </w:pPr>
    <w:rPr>
      <w:spacing w:val="6"/>
      <w:sz w:val="26"/>
    </w:rPr>
  </w:style>
  <w:style w:type="paragraph" w:customStyle="1" w:styleId="atitulo1">
    <w:name w:val="atitulo1"/>
    <w:basedOn w:val="Ttulo1"/>
    <w:link w:val="atitulo1Car"/>
    <w:qFormat/>
    <w:rsid w:val="006A794C"/>
    <w:pPr>
      <w:keepLines w:val="0"/>
      <w:spacing w:before="0" w:after="240"/>
      <w:outlineLvl w:val="9"/>
    </w:pPr>
    <w:rPr>
      <w:rFonts w:ascii="Arial" w:eastAsia="Times New Roman" w:hAnsi="Arial" w:cs="Times New Roman"/>
      <w:b/>
      <w:color w:val="000000"/>
      <w:kern w:val="28"/>
      <w:sz w:val="25"/>
      <w:szCs w:val="26"/>
    </w:rPr>
  </w:style>
  <w:style w:type="paragraph" w:styleId="TDC1">
    <w:name w:val="toc 1"/>
    <w:basedOn w:val="Normal"/>
    <w:next w:val="Normal"/>
    <w:autoRedefine/>
    <w:uiPriority w:val="39"/>
    <w:rsid w:val="006A794C"/>
    <w:pPr>
      <w:tabs>
        <w:tab w:val="right" w:leader="dot" w:pos="8930"/>
      </w:tabs>
      <w:spacing w:before="60" w:after="80"/>
    </w:pPr>
    <w:rPr>
      <w:rFonts w:ascii="Arial Narrow" w:hAnsi="Arial Narrow"/>
      <w:smallCaps/>
      <w:noProof/>
    </w:rPr>
  </w:style>
  <w:style w:type="paragraph" w:styleId="TDC2">
    <w:name w:val="toc 2"/>
    <w:basedOn w:val="Normal"/>
    <w:next w:val="Normal"/>
    <w:autoRedefine/>
    <w:uiPriority w:val="39"/>
    <w:rsid w:val="006A794C"/>
    <w:pPr>
      <w:tabs>
        <w:tab w:val="right" w:leader="dot" w:pos="8930"/>
      </w:tabs>
      <w:ind w:left="380"/>
    </w:pPr>
    <w:rPr>
      <w:rFonts w:ascii="Arial Narrow" w:hAnsi="Arial Narrow"/>
    </w:rPr>
  </w:style>
  <w:style w:type="paragraph" w:styleId="Encabezado">
    <w:name w:val="header"/>
    <w:basedOn w:val="Descripcin"/>
    <w:link w:val="EncabezadoCar"/>
    <w:rsid w:val="006A794C"/>
    <w:pPr>
      <w:tabs>
        <w:tab w:val="center" w:pos="4252"/>
        <w:tab w:val="right" w:pos="8504"/>
      </w:tabs>
      <w:spacing w:after="60"/>
      <w:jc w:val="center"/>
    </w:pPr>
    <w:rPr>
      <w:bCs/>
      <w:i w:val="0"/>
      <w:iCs w:val="0"/>
      <w:caps/>
      <w:color w:val="auto"/>
      <w:sz w:val="14"/>
      <w:szCs w:val="12"/>
    </w:rPr>
  </w:style>
  <w:style w:type="character" w:customStyle="1" w:styleId="EncabezadoCar">
    <w:name w:val="Encabezado Car"/>
    <w:basedOn w:val="Fuentedeprrafopredeter"/>
    <w:link w:val="Encabezado"/>
    <w:rsid w:val="006A794C"/>
    <w:rPr>
      <w:rFonts w:ascii="Times New Roman" w:eastAsia="Times New Roman" w:hAnsi="Times New Roman" w:cs="Times New Roman"/>
      <w:bCs/>
      <w:caps/>
      <w:sz w:val="14"/>
      <w:szCs w:val="12"/>
      <w:lang w:eastAsia="es-ES"/>
    </w:rPr>
  </w:style>
  <w:style w:type="paragraph" w:styleId="Piedepgina">
    <w:name w:val="footer"/>
    <w:basedOn w:val="texto"/>
    <w:link w:val="PiedepginaCar"/>
    <w:rsid w:val="006A794C"/>
    <w:pPr>
      <w:tabs>
        <w:tab w:val="center" w:pos="4252"/>
        <w:tab w:val="right" w:pos="8504"/>
      </w:tabs>
      <w:spacing w:after="80"/>
      <w:ind w:firstLine="0"/>
    </w:pPr>
    <w:rPr>
      <w:sz w:val="20"/>
      <w:szCs w:val="20"/>
    </w:rPr>
  </w:style>
  <w:style w:type="character" w:customStyle="1" w:styleId="PiedepginaCar">
    <w:name w:val="Pie de página Car"/>
    <w:basedOn w:val="Fuentedeprrafopredeter"/>
    <w:link w:val="Piedepgina"/>
    <w:rsid w:val="006A794C"/>
    <w:rPr>
      <w:rFonts w:ascii="Times New Roman" w:eastAsia="Times New Roman" w:hAnsi="Times New Roman" w:cs="Times New Roman"/>
      <w:spacing w:val="6"/>
      <w:sz w:val="20"/>
      <w:szCs w:val="20"/>
      <w:lang w:eastAsia="es-ES"/>
    </w:rPr>
  </w:style>
  <w:style w:type="character" w:styleId="Nmerodepgina">
    <w:name w:val="page number"/>
    <w:rsid w:val="006A794C"/>
    <w:rPr>
      <w:rFonts w:ascii="Times New Roman" w:hAnsi="Times New Roman"/>
      <w:sz w:val="24"/>
      <w:szCs w:val="20"/>
    </w:rPr>
  </w:style>
  <w:style w:type="paragraph" w:customStyle="1" w:styleId="ndice">
    <w:name w:val="índice"/>
    <w:basedOn w:val="atitulo1"/>
    <w:rsid w:val="006A794C"/>
    <w:pPr>
      <w:jc w:val="center"/>
    </w:pPr>
    <w:rPr>
      <w:caps/>
    </w:rPr>
  </w:style>
  <w:style w:type="paragraph" w:customStyle="1" w:styleId="Fechaportada">
    <w:name w:val="Fechaportada"/>
    <w:basedOn w:val="texto"/>
    <w:rsid w:val="006A79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6A794C"/>
    <w:pPr>
      <w:tabs>
        <w:tab w:val="clear" w:pos="2835"/>
        <w:tab w:val="clear" w:pos="3969"/>
        <w:tab w:val="clear" w:pos="5103"/>
        <w:tab w:val="clear" w:pos="6237"/>
        <w:tab w:val="clear" w:pos="7371"/>
      </w:tabs>
      <w:ind w:left="4394" w:firstLine="0"/>
    </w:pPr>
    <w:rPr>
      <w:rFonts w:ascii="Arial" w:hAnsi="Arial"/>
      <w:b/>
      <w:color w:val="808080"/>
      <w:sz w:val="40"/>
    </w:rPr>
  </w:style>
  <w:style w:type="character" w:styleId="Hipervnculo">
    <w:name w:val="Hyperlink"/>
    <w:uiPriority w:val="99"/>
    <w:rsid w:val="006A794C"/>
    <w:rPr>
      <w:color w:val="0000FF"/>
      <w:u w:val="single"/>
    </w:rPr>
  </w:style>
  <w:style w:type="character" w:customStyle="1" w:styleId="textoCar">
    <w:name w:val="texto Car"/>
    <w:link w:val="texto"/>
    <w:qFormat/>
    <w:rsid w:val="006A794C"/>
    <w:rPr>
      <w:rFonts w:ascii="Times New Roman" w:eastAsia="Times New Roman" w:hAnsi="Times New Roman" w:cs="Times New Roman"/>
      <w:spacing w:val="6"/>
      <w:sz w:val="26"/>
      <w:szCs w:val="24"/>
      <w:lang w:eastAsia="es-ES"/>
    </w:rPr>
  </w:style>
  <w:style w:type="paragraph" w:customStyle="1" w:styleId="cuadroCabe">
    <w:name w:val="cuadroCabe"/>
    <w:basedOn w:val="Normal"/>
    <w:qFormat/>
    <w:rsid w:val="006A794C"/>
    <w:pPr>
      <w:keepLines/>
      <w:tabs>
        <w:tab w:val="right" w:pos="2835"/>
        <w:tab w:val="right" w:pos="3969"/>
        <w:tab w:val="right" w:pos="5103"/>
        <w:tab w:val="right" w:pos="6237"/>
        <w:tab w:val="right" w:pos="7371"/>
      </w:tabs>
      <w:spacing w:line="240" w:lineRule="atLeast"/>
    </w:pPr>
    <w:rPr>
      <w:rFonts w:ascii="Arial" w:hAnsi="Arial"/>
      <w:spacing w:val="6"/>
      <w:sz w:val="18"/>
    </w:rPr>
  </w:style>
  <w:style w:type="paragraph" w:customStyle="1" w:styleId="EstiloPortada">
    <w:name w:val="Estilo Portada"/>
    <w:basedOn w:val="Normal"/>
    <w:rsid w:val="006A794C"/>
    <w:pPr>
      <w:spacing w:before="60"/>
      <w:ind w:left="4396" w:right="-1051"/>
    </w:pPr>
    <w:rPr>
      <w:b/>
      <w:sz w:val="60"/>
    </w:rPr>
  </w:style>
  <w:style w:type="character" w:customStyle="1" w:styleId="atitulo1Car">
    <w:name w:val="atitulo1 Car"/>
    <w:basedOn w:val="Fuentedeprrafopredeter"/>
    <w:link w:val="atitulo1"/>
    <w:locked/>
    <w:rsid w:val="006A794C"/>
    <w:rPr>
      <w:rFonts w:ascii="Arial" w:eastAsia="Times New Roman" w:hAnsi="Arial" w:cs="Times New Roman"/>
      <w:b/>
      <w:color w:val="000000"/>
      <w:kern w:val="28"/>
      <w:sz w:val="25"/>
      <w:szCs w:val="26"/>
      <w:lang w:eastAsia="es-ES"/>
    </w:rPr>
  </w:style>
  <w:style w:type="character" w:customStyle="1" w:styleId="Ttulo1Car">
    <w:name w:val="Título 1 Car"/>
    <w:basedOn w:val="Fuentedeprrafopredeter"/>
    <w:link w:val="Ttulo1"/>
    <w:rsid w:val="006A794C"/>
    <w:rPr>
      <w:rFonts w:asciiTheme="majorHAnsi" w:eastAsiaTheme="majorEastAsia" w:hAnsiTheme="majorHAnsi" w:cstheme="majorBidi"/>
      <w:color w:val="2E74B5" w:themeColor="accent1" w:themeShade="BF"/>
      <w:sz w:val="32"/>
      <w:szCs w:val="32"/>
      <w:lang w:eastAsia="es-ES"/>
    </w:rPr>
  </w:style>
  <w:style w:type="paragraph" w:styleId="Descripcin">
    <w:name w:val="caption"/>
    <w:basedOn w:val="Normal"/>
    <w:next w:val="Normal"/>
    <w:unhideWhenUsed/>
    <w:qFormat/>
    <w:rsid w:val="006A794C"/>
    <w:pPr>
      <w:spacing w:after="200"/>
    </w:pPr>
    <w:rPr>
      <w:i/>
      <w:iCs/>
      <w:color w:val="44546A" w:themeColor="text2"/>
      <w:sz w:val="18"/>
      <w:szCs w:val="18"/>
    </w:rPr>
  </w:style>
  <w:style w:type="paragraph" w:customStyle="1" w:styleId="portada">
    <w:name w:val="portada"/>
    <w:basedOn w:val="Normal"/>
    <w:rsid w:val="006A794C"/>
    <w:pPr>
      <w:spacing w:before="60"/>
      <w:ind w:left="3969"/>
      <w:jc w:val="both"/>
    </w:pPr>
    <w:rPr>
      <w:rFonts w:ascii="ITCCentury Book" w:eastAsia="Calibri" w:hAnsi="ITCCentury Book"/>
      <w:sz w:val="60"/>
      <w:szCs w:val="20"/>
      <w:lang w:val="es-ES_tradnl" w:eastAsia="en-US"/>
    </w:rPr>
  </w:style>
  <w:style w:type="character" w:customStyle="1" w:styleId="normaltextrun">
    <w:name w:val="normaltextrun"/>
    <w:basedOn w:val="Fuentedeprrafopredeter"/>
    <w:rsid w:val="00F60CE4"/>
  </w:style>
  <w:style w:type="paragraph" w:customStyle="1" w:styleId="Default">
    <w:name w:val="Default"/>
    <w:rsid w:val="00F60CE4"/>
    <w:pPr>
      <w:autoSpaceDE w:val="0"/>
      <w:autoSpaceDN w:val="0"/>
      <w:adjustRightInd w:val="0"/>
      <w:spacing w:after="0" w:line="240" w:lineRule="auto"/>
    </w:pPr>
    <w:rPr>
      <w:rFonts w:ascii="TimesNewRoman" w:eastAsia="Times New Roman" w:hAnsi="TimesNewRoman" w:cs="TimesNewRoman"/>
      <w:sz w:val="20"/>
      <w:szCs w:val="20"/>
      <w:lang w:eastAsia="es-ES"/>
    </w:rPr>
  </w:style>
  <w:style w:type="paragraph" w:styleId="Textonotapie">
    <w:name w:val="footnote text"/>
    <w:basedOn w:val="Normal"/>
    <w:link w:val="TextonotapieCar"/>
    <w:rsid w:val="00F60CE4"/>
    <w:pPr>
      <w:spacing w:after="140"/>
      <w:ind w:firstLine="567"/>
      <w:jc w:val="both"/>
    </w:pPr>
    <w:rPr>
      <w:rFonts w:eastAsia="Calibri"/>
      <w:sz w:val="20"/>
      <w:szCs w:val="20"/>
      <w:lang w:val="es-ES_tradnl" w:eastAsia="en-US"/>
    </w:rPr>
  </w:style>
  <w:style w:type="character" w:customStyle="1" w:styleId="TextonotapieCar">
    <w:name w:val="Texto nota pie Car"/>
    <w:basedOn w:val="Fuentedeprrafopredeter"/>
    <w:link w:val="Textonotapie"/>
    <w:rsid w:val="00F60CE4"/>
    <w:rPr>
      <w:rFonts w:ascii="Times New Roman" w:eastAsia="Calibri" w:hAnsi="Times New Roman" w:cs="Times New Roman"/>
      <w:sz w:val="20"/>
      <w:szCs w:val="20"/>
      <w:lang w:val="es-ES_tradnl"/>
    </w:rPr>
  </w:style>
  <w:style w:type="character" w:styleId="Refdenotaalpie">
    <w:name w:val="footnote reference"/>
    <w:rsid w:val="00F60CE4"/>
    <w:rPr>
      <w:vertAlign w:val="superscript"/>
    </w:rPr>
  </w:style>
  <w:style w:type="paragraph" w:customStyle="1" w:styleId="paragraph">
    <w:name w:val="paragraph"/>
    <w:basedOn w:val="Normal"/>
    <w:rsid w:val="00F60CE4"/>
    <w:pPr>
      <w:spacing w:before="100" w:beforeAutospacing="1" w:after="100" w:afterAutospacing="1"/>
    </w:pPr>
  </w:style>
  <w:style w:type="paragraph" w:customStyle="1" w:styleId="xl1">
    <w:name w:val="xl1"/>
    <w:basedOn w:val="Normal"/>
    <w:rsid w:val="00AC12BD"/>
    <w:pPr>
      <w:spacing w:before="100" w:beforeAutospacing="1" w:after="100" w:afterAutospacing="1"/>
    </w:pPr>
  </w:style>
  <w:style w:type="character" w:customStyle="1" w:styleId="eop">
    <w:name w:val="eop"/>
    <w:basedOn w:val="Fuentedeprrafopredeter"/>
    <w:rsid w:val="00824B5F"/>
  </w:style>
  <w:style w:type="paragraph" w:customStyle="1" w:styleId="atitulo2">
    <w:name w:val="atitulo2"/>
    <w:basedOn w:val="atitulo1"/>
    <w:link w:val="atitulo2Car"/>
    <w:qFormat/>
    <w:rsid w:val="00824B5F"/>
    <w:rPr>
      <w:b w:val="0"/>
      <w:bCs/>
      <w:iCs/>
      <w:spacing w:val="10"/>
    </w:rPr>
  </w:style>
  <w:style w:type="character" w:customStyle="1" w:styleId="atitulo2Car">
    <w:name w:val="atitulo2 Car"/>
    <w:link w:val="atitulo2"/>
    <w:locked/>
    <w:rsid w:val="00824B5F"/>
    <w:rPr>
      <w:rFonts w:ascii="Arial" w:eastAsia="Times New Roman" w:hAnsi="Arial" w:cs="Times New Roman"/>
      <w:bCs/>
      <w:iCs/>
      <w:color w:val="000000"/>
      <w:spacing w:val="10"/>
      <w:kern w:val="28"/>
      <w:sz w:val="25"/>
      <w:szCs w:val="26"/>
      <w:lang w:eastAsia="es-ES"/>
    </w:rPr>
  </w:style>
  <w:style w:type="paragraph" w:customStyle="1" w:styleId="atitulo3">
    <w:name w:val="atitulo3"/>
    <w:basedOn w:val="atitulo2"/>
    <w:link w:val="atitulo3Car"/>
    <w:uiPriority w:val="99"/>
    <w:qFormat/>
    <w:rsid w:val="00824B5F"/>
    <w:rPr>
      <w:bCs w:val="0"/>
      <w:i/>
    </w:rPr>
  </w:style>
  <w:style w:type="character" w:customStyle="1" w:styleId="atitulo3Car">
    <w:name w:val="atitulo3 Car"/>
    <w:link w:val="atitulo3"/>
    <w:rsid w:val="00824B5F"/>
    <w:rPr>
      <w:rFonts w:ascii="Arial" w:eastAsia="Times New Roman" w:hAnsi="Arial" w:cs="Times New Roman"/>
      <w:i/>
      <w:iCs/>
      <w:color w:val="000000"/>
      <w:spacing w:val="10"/>
      <w:kern w:val="28"/>
      <w:sz w:val="25"/>
      <w:szCs w:val="26"/>
      <w:lang w:eastAsia="es-ES"/>
    </w:rPr>
  </w:style>
  <w:style w:type="character" w:customStyle="1" w:styleId="Ttulo2Car">
    <w:name w:val="Título 2 Car"/>
    <w:basedOn w:val="Fuentedeprrafopredeter"/>
    <w:link w:val="Ttulo2"/>
    <w:rsid w:val="00483983"/>
    <w:rPr>
      <w:rFonts w:ascii="Arial" w:eastAsia="Calibri" w:hAnsi="Arial" w:cs="Arial"/>
      <w:b/>
      <w:bCs/>
      <w:i/>
      <w:iCs/>
      <w:sz w:val="28"/>
      <w:szCs w:val="28"/>
      <w:lang w:val="es-ES_tradnl"/>
    </w:rPr>
  </w:style>
  <w:style w:type="character" w:customStyle="1" w:styleId="Ttulo3Car">
    <w:name w:val="Título 3 Car"/>
    <w:basedOn w:val="Fuentedeprrafopredeter"/>
    <w:link w:val="Ttulo3"/>
    <w:rsid w:val="00483983"/>
    <w:rPr>
      <w:rFonts w:ascii="Arial" w:eastAsia="Calibri" w:hAnsi="Arial" w:cs="Arial"/>
      <w:b/>
      <w:bCs/>
      <w:sz w:val="20"/>
      <w:szCs w:val="26"/>
      <w:lang w:val="es-ES_tradnl"/>
    </w:rPr>
  </w:style>
  <w:style w:type="character" w:customStyle="1" w:styleId="Ttulo4Car">
    <w:name w:val="Título 4 Car"/>
    <w:basedOn w:val="Fuentedeprrafopredeter"/>
    <w:link w:val="Ttulo4"/>
    <w:rsid w:val="00483983"/>
    <w:rPr>
      <w:rFonts w:ascii="Times New Roman" w:eastAsia="Times New Roman" w:hAnsi="Times New Roman" w:cs="Times New Roman"/>
      <w:b/>
      <w:bCs/>
      <w:sz w:val="28"/>
      <w:szCs w:val="28"/>
      <w:lang w:eastAsia="es-ES"/>
    </w:rPr>
  </w:style>
  <w:style w:type="character" w:customStyle="1" w:styleId="Ttulo5Car">
    <w:name w:val="Título 5 Car"/>
    <w:basedOn w:val="Fuentedeprrafopredeter"/>
    <w:link w:val="Ttulo5"/>
    <w:rsid w:val="00483983"/>
    <w:rPr>
      <w:rFonts w:ascii="Times New Roman" w:eastAsia="Calibri" w:hAnsi="Times New Roman" w:cs="Times New Roman"/>
      <w:b/>
      <w:sz w:val="28"/>
      <w:szCs w:val="20"/>
    </w:rPr>
  </w:style>
  <w:style w:type="character" w:customStyle="1" w:styleId="Ttulo6Car">
    <w:name w:val="Título 6 Car"/>
    <w:basedOn w:val="Fuentedeprrafopredeter"/>
    <w:link w:val="Ttulo6"/>
    <w:rsid w:val="00483983"/>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483983"/>
    <w:rPr>
      <w:rFonts w:ascii="Times New Roman" w:eastAsia="Times New Roman" w:hAnsi="Times New Roman" w:cs="Times New Roman"/>
      <w:sz w:val="52"/>
      <w:szCs w:val="20"/>
      <w:lang w:eastAsia="es-ES"/>
    </w:rPr>
  </w:style>
  <w:style w:type="character" w:customStyle="1" w:styleId="Ttulo8Car">
    <w:name w:val="Título 8 Car"/>
    <w:basedOn w:val="Fuentedeprrafopredeter"/>
    <w:link w:val="Ttulo8"/>
    <w:rsid w:val="00483983"/>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483983"/>
    <w:rPr>
      <w:rFonts w:ascii="Arial" w:eastAsia="Times New Roman" w:hAnsi="Arial" w:cs="Arial"/>
      <w:lang w:eastAsia="es-ES"/>
    </w:rPr>
  </w:style>
  <w:style w:type="paragraph" w:customStyle="1" w:styleId="cuatexto">
    <w:name w:val="cuatexto"/>
    <w:basedOn w:val="Citatextual"/>
    <w:qFormat/>
    <w:rsid w:val="00483983"/>
    <w:pPr>
      <w:keepLines/>
      <w:tabs>
        <w:tab w:val="right" w:pos="2835"/>
        <w:tab w:val="right" w:pos="3969"/>
        <w:tab w:val="right" w:pos="5103"/>
        <w:tab w:val="right" w:pos="6237"/>
        <w:tab w:val="right" w:pos="7371"/>
      </w:tabs>
      <w:spacing w:after="0"/>
      <w:ind w:firstLine="0"/>
    </w:pPr>
    <w:rPr>
      <w:rFonts w:ascii="GillSans Light" w:hAnsi="GillSans Light"/>
    </w:rPr>
  </w:style>
  <w:style w:type="paragraph" w:customStyle="1" w:styleId="recomen">
    <w:name w:val="recomen"/>
    <w:basedOn w:val="texto"/>
    <w:rsid w:val="00483983"/>
    <w:pPr>
      <w:numPr>
        <w:numId w:val="10"/>
      </w:numPr>
      <w:tabs>
        <w:tab w:val="clear" w:pos="2835"/>
        <w:tab w:val="clear" w:pos="3969"/>
        <w:tab w:val="clear" w:pos="5103"/>
        <w:tab w:val="clear" w:pos="6237"/>
        <w:tab w:val="clear" w:pos="7371"/>
      </w:tabs>
      <w:spacing w:after="140"/>
      <w:jc w:val="both"/>
    </w:pPr>
    <w:rPr>
      <w:rFonts w:ascii="ITCCentury Book" w:eastAsia="Calibri" w:hAnsi="ITCCentury Book"/>
      <w:i/>
      <w:spacing w:val="0"/>
      <w:sz w:val="24"/>
      <w:szCs w:val="20"/>
    </w:rPr>
  </w:style>
  <w:style w:type="paragraph" w:styleId="Textodeglobo">
    <w:name w:val="Balloon Text"/>
    <w:basedOn w:val="Normal"/>
    <w:link w:val="TextodegloboCar"/>
    <w:semiHidden/>
    <w:rsid w:val="00483983"/>
    <w:pPr>
      <w:spacing w:after="140"/>
      <w:ind w:firstLine="567"/>
      <w:jc w:val="both"/>
    </w:pPr>
    <w:rPr>
      <w:rFonts w:ascii="Tahoma" w:eastAsia="Calibri" w:hAnsi="Tahoma" w:cs="Tahoma"/>
      <w:sz w:val="16"/>
      <w:szCs w:val="16"/>
      <w:lang w:val="es-ES_tradnl" w:eastAsia="en-US"/>
    </w:rPr>
  </w:style>
  <w:style w:type="character" w:customStyle="1" w:styleId="TextodegloboCar">
    <w:name w:val="Texto de globo Car"/>
    <w:basedOn w:val="Fuentedeprrafopredeter"/>
    <w:link w:val="Textodeglobo"/>
    <w:semiHidden/>
    <w:rsid w:val="00483983"/>
    <w:rPr>
      <w:rFonts w:ascii="Tahoma" w:eastAsia="Calibri" w:hAnsi="Tahoma" w:cs="Tahoma"/>
      <w:sz w:val="16"/>
      <w:szCs w:val="16"/>
      <w:lang w:val="es-ES_tradnl"/>
    </w:rPr>
  </w:style>
  <w:style w:type="paragraph" w:customStyle="1" w:styleId="Citatextual">
    <w:name w:val="«Citatextual»"/>
    <w:basedOn w:val="texto"/>
    <w:rsid w:val="00483983"/>
    <w:pPr>
      <w:spacing w:after="90"/>
      <w:jc w:val="both"/>
    </w:pPr>
    <w:rPr>
      <w:rFonts w:ascii="ITCCentury Book" w:eastAsia="Calibri" w:hAnsi="ITCCentury Book"/>
      <w:spacing w:val="0"/>
      <w:sz w:val="20"/>
      <w:szCs w:val="20"/>
      <w:lang w:val="es-ES_tradnl"/>
    </w:rPr>
  </w:style>
  <w:style w:type="table" w:styleId="Tablaconcuadrcula">
    <w:name w:val="Table Grid"/>
    <w:basedOn w:val="Tablanormal"/>
    <w:uiPriority w:val="39"/>
    <w:rsid w:val="00483983"/>
    <w:pPr>
      <w:spacing w:after="0" w:line="240" w:lineRule="auto"/>
    </w:pPr>
    <w:rPr>
      <w:rFonts w:ascii="Times New Roman" w:eastAsia="Calibri"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titul">
    <w:name w:val="cuatitul"/>
    <w:basedOn w:val="Normal"/>
    <w:rsid w:val="00483983"/>
    <w:pPr>
      <w:spacing w:after="60"/>
      <w:jc w:val="center"/>
    </w:pPr>
    <w:rPr>
      <w:rFonts w:ascii="GillSans" w:eastAsia="Calibri" w:hAnsi="GillSans"/>
      <w:sz w:val="22"/>
      <w:szCs w:val="20"/>
      <w:lang w:val="es-ES_tradnl"/>
    </w:rPr>
  </w:style>
  <w:style w:type="paragraph" w:customStyle="1" w:styleId="TablaCC">
    <w:name w:val="TablaCC"/>
    <w:basedOn w:val="Normal"/>
    <w:rsid w:val="00483983"/>
    <w:pPr>
      <w:spacing w:before="200"/>
    </w:pPr>
    <w:rPr>
      <w:rFonts w:ascii="Arial" w:eastAsia="Calibri" w:hAnsi="Arial"/>
      <w:b/>
      <w:lang w:eastAsia="en-US"/>
    </w:rPr>
  </w:style>
  <w:style w:type="paragraph" w:customStyle="1" w:styleId="xl25">
    <w:name w:val="xl25"/>
    <w:basedOn w:val="Normal"/>
    <w:rsid w:val="00483983"/>
    <w:pPr>
      <w:pBdr>
        <w:left w:val="double" w:sz="6" w:space="0" w:color="auto"/>
      </w:pBdr>
      <w:spacing w:before="100" w:beforeAutospacing="1" w:after="100" w:afterAutospacing="1"/>
      <w:textAlignment w:val="top"/>
    </w:pPr>
    <w:rPr>
      <w:rFonts w:eastAsia="Arial Unicode MS"/>
    </w:rPr>
  </w:style>
  <w:style w:type="paragraph" w:styleId="Textoindependiente">
    <w:name w:val="Body Text"/>
    <w:basedOn w:val="Normal"/>
    <w:link w:val="TextoindependienteCar"/>
    <w:rsid w:val="00483983"/>
    <w:pPr>
      <w:jc w:val="both"/>
    </w:pPr>
    <w:rPr>
      <w:rFonts w:ascii="Arial" w:eastAsia="Calibri" w:hAnsi="Arial"/>
      <w:szCs w:val="20"/>
      <w:lang w:val="es-ES_tradnl"/>
    </w:rPr>
  </w:style>
  <w:style w:type="character" w:customStyle="1" w:styleId="TextoindependienteCar">
    <w:name w:val="Texto independiente Car"/>
    <w:basedOn w:val="Fuentedeprrafopredeter"/>
    <w:link w:val="Textoindependiente"/>
    <w:rsid w:val="00483983"/>
    <w:rPr>
      <w:rFonts w:ascii="Arial" w:eastAsia="Calibri" w:hAnsi="Arial" w:cs="Times New Roman"/>
      <w:sz w:val="24"/>
      <w:szCs w:val="20"/>
      <w:lang w:val="es-ES_tradnl" w:eastAsia="es-ES"/>
    </w:rPr>
  </w:style>
  <w:style w:type="paragraph" w:styleId="NormalWeb">
    <w:name w:val="Normal (Web)"/>
    <w:basedOn w:val="Normal"/>
    <w:uiPriority w:val="99"/>
    <w:rsid w:val="00483983"/>
    <w:pPr>
      <w:spacing w:before="100" w:beforeAutospacing="1" w:after="100" w:afterAutospacing="1"/>
    </w:pPr>
    <w:rPr>
      <w:rFonts w:eastAsia="Calibri"/>
    </w:rPr>
  </w:style>
  <w:style w:type="character" w:customStyle="1" w:styleId="AyuntamientoCar">
    <w:name w:val="Ayuntamiento Car"/>
    <w:link w:val="Ayuntamiento"/>
    <w:locked/>
    <w:rsid w:val="00483983"/>
    <w:rPr>
      <w:rFonts w:ascii="Arial" w:hAnsi="Arial"/>
      <w:sz w:val="24"/>
      <w:lang w:val="x-none" w:eastAsia="es-ES"/>
    </w:rPr>
  </w:style>
  <w:style w:type="paragraph" w:customStyle="1" w:styleId="Ayuntamiento">
    <w:name w:val="Ayuntamiento"/>
    <w:basedOn w:val="Normal"/>
    <w:link w:val="AyuntamientoCar"/>
    <w:rsid w:val="00483983"/>
    <w:pPr>
      <w:jc w:val="both"/>
    </w:pPr>
    <w:rPr>
      <w:rFonts w:ascii="Arial" w:eastAsiaTheme="minorHAnsi" w:hAnsi="Arial" w:cstheme="minorBidi"/>
      <w:szCs w:val="22"/>
      <w:lang w:val="x-none"/>
    </w:rPr>
  </w:style>
  <w:style w:type="character" w:customStyle="1" w:styleId="JavierCar">
    <w:name w:val="Javier Car"/>
    <w:link w:val="Javier"/>
    <w:locked/>
    <w:rsid w:val="00483983"/>
    <w:rPr>
      <w:rFonts w:ascii="Arial" w:hAnsi="Arial"/>
      <w:sz w:val="24"/>
      <w:lang w:val="x-none" w:eastAsia="es-ES"/>
    </w:rPr>
  </w:style>
  <w:style w:type="paragraph" w:customStyle="1" w:styleId="Javier">
    <w:name w:val="Javier"/>
    <w:basedOn w:val="Normal"/>
    <w:link w:val="JavierCar"/>
    <w:rsid w:val="00483983"/>
    <w:pPr>
      <w:jc w:val="both"/>
    </w:pPr>
    <w:rPr>
      <w:rFonts w:ascii="Arial" w:eastAsiaTheme="minorHAnsi" w:hAnsi="Arial" w:cstheme="minorBidi"/>
      <w:szCs w:val="22"/>
      <w:lang w:val="x-none"/>
    </w:rPr>
  </w:style>
  <w:style w:type="character" w:styleId="Textoennegrita">
    <w:name w:val="Strong"/>
    <w:uiPriority w:val="22"/>
    <w:qFormat/>
    <w:rsid w:val="00483983"/>
    <w:rPr>
      <w:b/>
    </w:rPr>
  </w:style>
  <w:style w:type="paragraph" w:customStyle="1" w:styleId="foral-f-parrafo-c">
    <w:name w:val="foral-f-parrafo-c"/>
    <w:basedOn w:val="Normal"/>
    <w:rsid w:val="00483983"/>
    <w:pPr>
      <w:spacing w:after="240"/>
    </w:pPr>
    <w:rPr>
      <w:rFonts w:eastAsia="Calibri"/>
    </w:rPr>
  </w:style>
  <w:style w:type="paragraph" w:customStyle="1" w:styleId="Estndar">
    <w:name w:val="Estándar"/>
    <w:rsid w:val="00483983"/>
    <w:pPr>
      <w:snapToGrid w:val="0"/>
      <w:spacing w:after="0" w:line="240" w:lineRule="auto"/>
    </w:pPr>
    <w:rPr>
      <w:rFonts w:ascii="CG Omega" w:eastAsia="Times New Roman" w:hAnsi="CG Omega" w:cs="Times New Roman"/>
      <w:color w:val="000000"/>
      <w:szCs w:val="20"/>
      <w:lang w:eastAsia="es-ES"/>
    </w:rPr>
  </w:style>
  <w:style w:type="paragraph" w:styleId="Textoindependiente2">
    <w:name w:val="Body Text 2"/>
    <w:basedOn w:val="Normal"/>
    <w:link w:val="Textoindependiente2Car"/>
    <w:rsid w:val="00483983"/>
    <w:pPr>
      <w:spacing w:after="120" w:line="480" w:lineRule="auto"/>
      <w:ind w:firstLine="567"/>
      <w:jc w:val="both"/>
    </w:pPr>
    <w:rPr>
      <w:rFonts w:eastAsia="Calibri"/>
      <w:sz w:val="20"/>
      <w:szCs w:val="20"/>
      <w:lang w:val="es-ES_tradnl" w:eastAsia="en-US"/>
    </w:rPr>
  </w:style>
  <w:style w:type="character" w:customStyle="1" w:styleId="Textoindependiente2Car">
    <w:name w:val="Texto independiente 2 Car"/>
    <w:basedOn w:val="Fuentedeprrafopredeter"/>
    <w:link w:val="Textoindependiente2"/>
    <w:rsid w:val="00483983"/>
    <w:rPr>
      <w:rFonts w:ascii="Times New Roman" w:eastAsia="Calibri" w:hAnsi="Times New Roman" w:cs="Times New Roman"/>
      <w:sz w:val="20"/>
      <w:szCs w:val="20"/>
      <w:lang w:val="es-ES_tradnl"/>
    </w:rPr>
  </w:style>
  <w:style w:type="paragraph" w:styleId="Textoindependiente3">
    <w:name w:val="Body Text 3"/>
    <w:basedOn w:val="Normal"/>
    <w:link w:val="Textoindependiente3Car"/>
    <w:rsid w:val="00483983"/>
    <w:pPr>
      <w:jc w:val="center"/>
    </w:pPr>
    <w:rPr>
      <w:rFonts w:ascii="ITCCentury Book" w:hAnsi="ITCCentury Book"/>
      <w:b/>
      <w:sz w:val="96"/>
      <w:szCs w:val="20"/>
    </w:rPr>
  </w:style>
  <w:style w:type="character" w:customStyle="1" w:styleId="Textoindependiente3Car">
    <w:name w:val="Texto independiente 3 Car"/>
    <w:basedOn w:val="Fuentedeprrafopredeter"/>
    <w:link w:val="Textoindependiente3"/>
    <w:rsid w:val="00483983"/>
    <w:rPr>
      <w:rFonts w:ascii="ITCCentury Book" w:eastAsia="Times New Roman" w:hAnsi="ITCCentury Book" w:cs="Times New Roman"/>
      <w:b/>
      <w:sz w:val="96"/>
      <w:szCs w:val="20"/>
      <w:lang w:eastAsia="es-ES"/>
    </w:rPr>
  </w:style>
  <w:style w:type="paragraph" w:customStyle="1" w:styleId="c22">
    <w:name w:val="c22"/>
    <w:basedOn w:val="Normal"/>
    <w:rsid w:val="00483983"/>
    <w:pPr>
      <w:spacing w:before="100" w:beforeAutospacing="1" w:after="100" w:afterAutospacing="1"/>
    </w:pPr>
  </w:style>
  <w:style w:type="paragraph" w:customStyle="1" w:styleId="np">
    <w:name w:val="np"/>
    <w:basedOn w:val="Normal"/>
    <w:rsid w:val="00483983"/>
    <w:pPr>
      <w:spacing w:before="100" w:beforeAutospacing="1" w:after="100" w:afterAutospacing="1"/>
    </w:pPr>
  </w:style>
  <w:style w:type="paragraph" w:customStyle="1" w:styleId="Subepgrafe">
    <w:name w:val="Subepígrafe"/>
    <w:basedOn w:val="Normal"/>
    <w:next w:val="Normal"/>
    <w:rsid w:val="00483983"/>
    <w:pPr>
      <w:overflowPunct w:val="0"/>
      <w:adjustRightInd w:val="0"/>
      <w:spacing w:before="240"/>
      <w:jc w:val="both"/>
    </w:pPr>
    <w:rPr>
      <w:sz w:val="22"/>
      <w:szCs w:val="20"/>
      <w:lang w:val="es-ES_tradnl"/>
    </w:rPr>
  </w:style>
  <w:style w:type="paragraph" w:customStyle="1" w:styleId="xa1">
    <w:name w:val="xa1"/>
    <w:basedOn w:val="Normal"/>
    <w:uiPriority w:val="99"/>
    <w:rsid w:val="00483983"/>
    <w:pPr>
      <w:spacing w:before="100" w:beforeAutospacing="1" w:after="100" w:afterAutospacing="1"/>
    </w:pPr>
    <w:rPr>
      <w:rFonts w:eastAsia="Calibri"/>
    </w:rPr>
  </w:style>
  <w:style w:type="paragraph" w:customStyle="1" w:styleId="xl2">
    <w:name w:val="xl2"/>
    <w:basedOn w:val="Normal"/>
    <w:rsid w:val="00483983"/>
    <w:pPr>
      <w:spacing w:before="100" w:beforeAutospacing="1" w:after="100" w:afterAutospacing="1"/>
    </w:pPr>
  </w:style>
  <w:style w:type="character" w:customStyle="1" w:styleId="apple-converted-space">
    <w:name w:val="apple-converted-space"/>
    <w:rsid w:val="00483983"/>
  </w:style>
  <w:style w:type="paragraph" w:customStyle="1" w:styleId="pie">
    <w:name w:val="pie"/>
    <w:basedOn w:val="Normal"/>
    <w:rsid w:val="00483983"/>
    <w:pPr>
      <w:spacing w:before="100" w:beforeAutospacing="1" w:after="100" w:afterAutospacing="1"/>
    </w:pPr>
  </w:style>
  <w:style w:type="character" w:customStyle="1" w:styleId="hvr">
    <w:name w:val="hvr"/>
    <w:basedOn w:val="Fuentedeprrafopredeter"/>
    <w:rsid w:val="00483983"/>
  </w:style>
  <w:style w:type="paragraph" w:styleId="Prrafodelista">
    <w:name w:val="List Paragraph"/>
    <w:basedOn w:val="Normal"/>
    <w:uiPriority w:val="34"/>
    <w:qFormat/>
    <w:rsid w:val="00483983"/>
    <w:pPr>
      <w:spacing w:after="140"/>
      <w:ind w:left="720" w:firstLine="567"/>
      <w:contextualSpacing/>
      <w:jc w:val="both"/>
    </w:pPr>
    <w:rPr>
      <w:rFonts w:eastAsia="Calibri"/>
      <w:sz w:val="20"/>
      <w:szCs w:val="20"/>
      <w:lang w:val="es-ES_tradnl" w:eastAsia="en-US"/>
    </w:rPr>
  </w:style>
  <w:style w:type="character" w:customStyle="1" w:styleId="spelle">
    <w:name w:val="spelle"/>
    <w:rsid w:val="00483983"/>
  </w:style>
  <w:style w:type="character" w:customStyle="1" w:styleId="grame">
    <w:name w:val="grame"/>
    <w:rsid w:val="00483983"/>
  </w:style>
  <w:style w:type="paragraph" w:customStyle="1" w:styleId="Informal2">
    <w:name w:val="Informal2"/>
    <w:basedOn w:val="Normal"/>
    <w:rsid w:val="00483983"/>
    <w:pPr>
      <w:spacing w:before="60" w:after="60"/>
    </w:pPr>
    <w:rPr>
      <w:rFonts w:ascii="Arial" w:hAnsi="Arial"/>
      <w:b/>
      <w:sz w:val="20"/>
      <w:szCs w:val="20"/>
      <w:lang w:val="es-ES_tradnl"/>
    </w:rPr>
  </w:style>
  <w:style w:type="character" w:styleId="Hipervnculovisitado">
    <w:name w:val="FollowedHyperlink"/>
    <w:basedOn w:val="Fuentedeprrafopredeter"/>
    <w:uiPriority w:val="99"/>
    <w:unhideWhenUsed/>
    <w:rsid w:val="00483983"/>
    <w:rPr>
      <w:color w:val="800080"/>
      <w:u w:val="single"/>
    </w:rPr>
  </w:style>
  <w:style w:type="paragraph" w:customStyle="1" w:styleId="xl66">
    <w:name w:val="xl66"/>
    <w:basedOn w:val="Normal"/>
    <w:rsid w:val="00483983"/>
    <w:pPr>
      <w:spacing w:before="100" w:beforeAutospacing="1" w:after="100" w:afterAutospacing="1"/>
    </w:pPr>
    <w:rPr>
      <w:sz w:val="20"/>
      <w:szCs w:val="20"/>
    </w:rPr>
  </w:style>
  <w:style w:type="paragraph" w:customStyle="1" w:styleId="xl67">
    <w:name w:val="xl67"/>
    <w:basedOn w:val="Normal"/>
    <w:rsid w:val="00483983"/>
    <w:pPr>
      <w:shd w:val="clear" w:color="000000" w:fill="F2F2F2"/>
      <w:spacing w:before="100" w:beforeAutospacing="1" w:after="100" w:afterAutospacing="1"/>
    </w:pPr>
    <w:rPr>
      <w:sz w:val="20"/>
      <w:szCs w:val="20"/>
    </w:rPr>
  </w:style>
  <w:style w:type="paragraph" w:customStyle="1" w:styleId="xl68">
    <w:name w:val="xl68"/>
    <w:basedOn w:val="Normal"/>
    <w:rsid w:val="00483983"/>
    <w:pPr>
      <w:shd w:val="clear" w:color="000000" w:fill="F2F2F2"/>
      <w:spacing w:before="100" w:beforeAutospacing="1" w:after="100" w:afterAutospacing="1"/>
    </w:pPr>
    <w:rPr>
      <w:sz w:val="36"/>
      <w:szCs w:val="36"/>
    </w:rPr>
  </w:style>
  <w:style w:type="paragraph" w:customStyle="1" w:styleId="xl69">
    <w:name w:val="xl69"/>
    <w:basedOn w:val="Normal"/>
    <w:rsid w:val="00483983"/>
    <w:pPr>
      <w:shd w:val="clear" w:color="000000" w:fill="EBF1DE"/>
      <w:spacing w:before="100" w:beforeAutospacing="1" w:after="100" w:afterAutospacing="1"/>
    </w:pPr>
    <w:rPr>
      <w:sz w:val="20"/>
      <w:szCs w:val="20"/>
    </w:rPr>
  </w:style>
  <w:style w:type="paragraph" w:customStyle="1" w:styleId="xl70">
    <w:name w:val="xl70"/>
    <w:basedOn w:val="Normal"/>
    <w:rsid w:val="00483983"/>
    <w:pPr>
      <w:shd w:val="clear" w:color="000000" w:fill="E4DFEC"/>
      <w:spacing w:before="100" w:beforeAutospacing="1" w:after="100" w:afterAutospacing="1"/>
    </w:pPr>
    <w:rPr>
      <w:sz w:val="20"/>
      <w:szCs w:val="20"/>
    </w:rPr>
  </w:style>
  <w:style w:type="paragraph" w:customStyle="1" w:styleId="xl71">
    <w:name w:val="xl71"/>
    <w:basedOn w:val="Normal"/>
    <w:rsid w:val="00483983"/>
    <w:pPr>
      <w:shd w:val="clear" w:color="000000" w:fill="E4DFEC"/>
      <w:spacing w:before="100" w:beforeAutospacing="1" w:after="100" w:afterAutospacing="1"/>
    </w:pPr>
    <w:rPr>
      <w:b/>
      <w:bCs/>
      <w:sz w:val="20"/>
      <w:szCs w:val="20"/>
    </w:rPr>
  </w:style>
  <w:style w:type="paragraph" w:customStyle="1" w:styleId="xl72">
    <w:name w:val="xl72"/>
    <w:basedOn w:val="Normal"/>
    <w:rsid w:val="00483983"/>
    <w:pPr>
      <w:shd w:val="clear" w:color="000000" w:fill="DAEEF3"/>
      <w:spacing w:before="100" w:beforeAutospacing="1" w:after="100" w:afterAutospacing="1"/>
    </w:pPr>
    <w:rPr>
      <w:sz w:val="20"/>
      <w:szCs w:val="20"/>
    </w:rPr>
  </w:style>
  <w:style w:type="paragraph" w:customStyle="1" w:styleId="xl73">
    <w:name w:val="xl73"/>
    <w:basedOn w:val="Normal"/>
    <w:rsid w:val="00483983"/>
    <w:pPr>
      <w:shd w:val="clear" w:color="000000" w:fill="DAEEF3"/>
      <w:spacing w:before="100" w:beforeAutospacing="1" w:after="100" w:afterAutospacing="1"/>
      <w:jc w:val="center"/>
    </w:pPr>
    <w:rPr>
      <w:sz w:val="20"/>
      <w:szCs w:val="20"/>
    </w:rPr>
  </w:style>
  <w:style w:type="paragraph" w:customStyle="1" w:styleId="xl74">
    <w:name w:val="xl74"/>
    <w:basedOn w:val="Normal"/>
    <w:rsid w:val="00483983"/>
    <w:pPr>
      <w:shd w:val="clear" w:color="000000" w:fill="FDE9D9"/>
      <w:spacing w:before="100" w:beforeAutospacing="1" w:after="100" w:afterAutospacing="1"/>
    </w:pPr>
    <w:rPr>
      <w:sz w:val="20"/>
      <w:szCs w:val="20"/>
    </w:rPr>
  </w:style>
  <w:style w:type="paragraph" w:customStyle="1" w:styleId="xl75">
    <w:name w:val="xl75"/>
    <w:basedOn w:val="Normal"/>
    <w:rsid w:val="00483983"/>
    <w:pPr>
      <w:shd w:val="clear" w:color="000000" w:fill="FDE9D9"/>
      <w:spacing w:before="100" w:beforeAutospacing="1" w:after="100" w:afterAutospacing="1"/>
    </w:pPr>
    <w:rPr>
      <w:sz w:val="36"/>
      <w:szCs w:val="36"/>
    </w:rPr>
  </w:style>
  <w:style w:type="table" w:customStyle="1" w:styleId="NormalTable0">
    <w:name w:val="Normal Table0"/>
    <w:uiPriority w:val="59"/>
    <w:rsid w:val="00483983"/>
    <w:pPr>
      <w:autoSpaceDE w:val="0"/>
      <w:autoSpaceDN w:val="0"/>
      <w:adjustRightInd w:val="0"/>
      <w:spacing w:after="0" w:line="276" w:lineRule="auto"/>
    </w:pPr>
    <w:rPr>
      <w:rFonts w:ascii="Verdana" w:eastAsia="Times New Roman" w:hAnsi="Verdana" w:cs="Times New Roman"/>
      <w:color w:val="000000"/>
      <w:sz w:val="24"/>
      <w:szCs w:val="24"/>
      <w:u w:color="000000"/>
      <w:lang w:val="en-US" w:eastAsia="es-ES"/>
    </w:rPr>
    <w:tblPr>
      <w:tblCellMar>
        <w:top w:w="0" w:type="dxa"/>
        <w:left w:w="0" w:type="dxa"/>
        <w:bottom w:w="0" w:type="dxa"/>
        <w:right w:w="0" w:type="dxa"/>
      </w:tblCellMar>
    </w:tblPr>
  </w:style>
  <w:style w:type="character" w:styleId="Refdecomentario">
    <w:name w:val="annotation reference"/>
    <w:basedOn w:val="Fuentedeprrafopredeter"/>
    <w:semiHidden/>
    <w:unhideWhenUsed/>
    <w:rsid w:val="00483983"/>
    <w:rPr>
      <w:sz w:val="16"/>
      <w:szCs w:val="16"/>
    </w:rPr>
  </w:style>
  <w:style w:type="paragraph" w:styleId="Textocomentario">
    <w:name w:val="annotation text"/>
    <w:basedOn w:val="Normal"/>
    <w:link w:val="TextocomentarioCar"/>
    <w:semiHidden/>
    <w:unhideWhenUsed/>
    <w:rsid w:val="00483983"/>
    <w:pPr>
      <w:spacing w:after="140"/>
      <w:ind w:firstLine="567"/>
      <w:jc w:val="both"/>
    </w:pPr>
    <w:rPr>
      <w:rFonts w:eastAsia="Calibri"/>
      <w:sz w:val="20"/>
      <w:szCs w:val="20"/>
      <w:lang w:val="es-ES_tradnl" w:eastAsia="en-US"/>
    </w:rPr>
  </w:style>
  <w:style w:type="character" w:customStyle="1" w:styleId="TextocomentarioCar">
    <w:name w:val="Texto comentario Car"/>
    <w:basedOn w:val="Fuentedeprrafopredeter"/>
    <w:link w:val="Textocomentario"/>
    <w:semiHidden/>
    <w:rsid w:val="00483983"/>
    <w:rPr>
      <w:rFonts w:ascii="Times New Roman" w:eastAsia="Calibri" w:hAnsi="Times New Roman" w:cs="Times New Roman"/>
      <w:sz w:val="20"/>
      <w:szCs w:val="20"/>
      <w:lang w:val="es-ES_tradnl"/>
    </w:rPr>
  </w:style>
  <w:style w:type="paragraph" w:styleId="Asuntodelcomentario">
    <w:name w:val="annotation subject"/>
    <w:basedOn w:val="Textocomentario"/>
    <w:next w:val="Textocomentario"/>
    <w:link w:val="AsuntodelcomentarioCar"/>
    <w:semiHidden/>
    <w:unhideWhenUsed/>
    <w:rsid w:val="00483983"/>
    <w:rPr>
      <w:b/>
      <w:bCs/>
    </w:rPr>
  </w:style>
  <w:style w:type="character" w:customStyle="1" w:styleId="AsuntodelcomentarioCar">
    <w:name w:val="Asunto del comentario Car"/>
    <w:basedOn w:val="TextocomentarioCar"/>
    <w:link w:val="Asuntodelcomentario"/>
    <w:semiHidden/>
    <w:rsid w:val="00483983"/>
    <w:rPr>
      <w:rFonts w:ascii="Times New Roman" w:eastAsia="Calibri" w:hAnsi="Times New Roman" w:cs="Times New Roman"/>
      <w:b/>
      <w:bCs/>
      <w:sz w:val="20"/>
      <w:szCs w:val="20"/>
      <w:lang w:val="es-ES_tradnl"/>
    </w:rPr>
  </w:style>
  <w:style w:type="paragraph" w:customStyle="1" w:styleId="H3">
    <w:name w:val="H3"/>
    <w:basedOn w:val="Normal"/>
    <w:next w:val="Normal"/>
    <w:uiPriority w:val="99"/>
    <w:rsid w:val="00483983"/>
    <w:pPr>
      <w:keepNext/>
      <w:autoSpaceDE w:val="0"/>
      <w:autoSpaceDN w:val="0"/>
      <w:adjustRightInd w:val="0"/>
      <w:spacing w:before="100" w:after="100"/>
      <w:outlineLvl w:val="3"/>
    </w:pPr>
    <w:rPr>
      <w:b/>
      <w:bCs/>
      <w:sz w:val="28"/>
      <w:szCs w:val="28"/>
    </w:rPr>
  </w:style>
  <w:style w:type="paragraph" w:customStyle="1" w:styleId="Acuerdos">
    <w:name w:val="Acuerdos"/>
    <w:basedOn w:val="Normal"/>
    <w:rsid w:val="00483983"/>
    <w:pPr>
      <w:tabs>
        <w:tab w:val="left" w:pos="709"/>
        <w:tab w:val="center" w:pos="3828"/>
        <w:tab w:val="center" w:pos="3856"/>
      </w:tabs>
      <w:spacing w:line="380" w:lineRule="atLeast"/>
      <w:ind w:firstLine="709"/>
      <w:jc w:val="both"/>
    </w:pPr>
    <w:rPr>
      <w:rFonts w:ascii="Courier New" w:hAnsi="Courier New"/>
    </w:rPr>
  </w:style>
  <w:style w:type="paragraph" w:styleId="Revisin">
    <w:name w:val="Revision"/>
    <w:hidden/>
    <w:uiPriority w:val="99"/>
    <w:semiHidden/>
    <w:rsid w:val="00E94F74"/>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4064">
      <w:bodyDiv w:val="1"/>
      <w:marLeft w:val="0"/>
      <w:marRight w:val="0"/>
      <w:marTop w:val="0"/>
      <w:marBottom w:val="0"/>
      <w:divBdr>
        <w:top w:val="none" w:sz="0" w:space="0" w:color="auto"/>
        <w:left w:val="none" w:sz="0" w:space="0" w:color="auto"/>
        <w:bottom w:val="none" w:sz="0" w:space="0" w:color="auto"/>
        <w:right w:val="none" w:sz="0" w:space="0" w:color="auto"/>
      </w:divBdr>
    </w:div>
    <w:div w:id="543754633">
      <w:bodyDiv w:val="1"/>
      <w:marLeft w:val="0"/>
      <w:marRight w:val="0"/>
      <w:marTop w:val="0"/>
      <w:marBottom w:val="0"/>
      <w:divBdr>
        <w:top w:val="none" w:sz="0" w:space="0" w:color="auto"/>
        <w:left w:val="none" w:sz="0" w:space="0" w:color="auto"/>
        <w:bottom w:val="none" w:sz="0" w:space="0" w:color="auto"/>
        <w:right w:val="none" w:sz="0" w:space="0" w:color="auto"/>
      </w:divBdr>
    </w:div>
    <w:div w:id="587469961">
      <w:bodyDiv w:val="1"/>
      <w:marLeft w:val="0"/>
      <w:marRight w:val="0"/>
      <w:marTop w:val="0"/>
      <w:marBottom w:val="0"/>
      <w:divBdr>
        <w:top w:val="none" w:sz="0" w:space="0" w:color="auto"/>
        <w:left w:val="none" w:sz="0" w:space="0" w:color="auto"/>
        <w:bottom w:val="none" w:sz="0" w:space="0" w:color="auto"/>
        <w:right w:val="none" w:sz="0" w:space="0" w:color="auto"/>
      </w:divBdr>
    </w:div>
    <w:div w:id="943805435">
      <w:bodyDiv w:val="1"/>
      <w:marLeft w:val="0"/>
      <w:marRight w:val="0"/>
      <w:marTop w:val="0"/>
      <w:marBottom w:val="0"/>
      <w:divBdr>
        <w:top w:val="none" w:sz="0" w:space="0" w:color="auto"/>
        <w:left w:val="none" w:sz="0" w:space="0" w:color="auto"/>
        <w:bottom w:val="none" w:sz="0" w:space="0" w:color="auto"/>
        <w:right w:val="none" w:sz="0" w:space="0" w:color="auto"/>
      </w:divBdr>
    </w:div>
    <w:div w:id="1483741521">
      <w:bodyDiv w:val="1"/>
      <w:marLeft w:val="0"/>
      <w:marRight w:val="0"/>
      <w:marTop w:val="0"/>
      <w:marBottom w:val="0"/>
      <w:divBdr>
        <w:top w:val="none" w:sz="0" w:space="0" w:color="auto"/>
        <w:left w:val="none" w:sz="0" w:space="0" w:color="auto"/>
        <w:bottom w:val="none" w:sz="0" w:space="0" w:color="auto"/>
        <w:right w:val="none" w:sz="0" w:space="0" w:color="auto"/>
      </w:divBdr>
    </w:div>
    <w:div w:id="1832674038">
      <w:bodyDiv w:val="1"/>
      <w:marLeft w:val="0"/>
      <w:marRight w:val="0"/>
      <w:marTop w:val="0"/>
      <w:marBottom w:val="0"/>
      <w:divBdr>
        <w:top w:val="none" w:sz="0" w:space="0" w:color="auto"/>
        <w:left w:val="none" w:sz="0" w:space="0" w:color="auto"/>
        <w:bottom w:val="none" w:sz="0" w:space="0" w:color="auto"/>
        <w:right w:val="none" w:sz="0" w:space="0" w:color="auto"/>
      </w:divBdr>
    </w:div>
    <w:div w:id="206336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avarra.es/documents/48192/20541603/10+-+IMV+-+SOLICITANTES.pdf/664e3497-7758-bd91-6ae6-7769d73b59c3?t=1668760983575"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navarra.es/es/derechos-sociales/glosario-derechos-sociales"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4.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hart" Target="charts/chart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hart" Target="charts/chart2.xml"/><Relationship Id="rId27" Type="http://schemas.openxmlformats.org/officeDocument/2006/relationships/footer" Target="footer3.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ww.eapn.es/estadodepobreza/ARCHIVO/documentos/informe-AROPE-2024-Comunidades-autonomas-Union-Europe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fiscalicex.camaradecomptos.org/webdav2/tokNEFtb2JxZUpncm95UWx0eWlYNldqZz09/IDFICHERO_3768/SIN%20DRJ.%20Evoluci&#243;n%20Titular%20y%20Beneficiari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fiscalicex.camaradecomptos.org/webdav2/tokVGF1Wm11S2o1R3NxSWl0S3E2L0dHQT09/IDFICHERO_3768/SIN%20DRJ.%20Evoluci&#243;n%20Titular%20y%20Beneficiari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fiscalicex.camaradecomptos.org/webdav2/tokVGF1Wm11S2o1R3NxSWl0S3E2L0dHQT09/IDFICHERO_3768/SIN%20DRJ.%20Evoluci&#243;n%20Titular%20y%20Beneficiari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fiscalicex.camaradecomptos.org/webdav2/tokNEFtb2JxZUpncm95UWx0eWlYNldqZz09/IDFICHERO_3768/SIN%20DRJ.%20Evoluci&#243;n%20Titular%20y%20Beneficiari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b="1"/>
              <a:t>Evolución número titulares y beneficarios de</a:t>
            </a:r>
            <a:r>
              <a:rPr lang="es-ES" b="1" baseline="0"/>
              <a:t> la RG</a:t>
            </a:r>
            <a:endParaRPr lang="es-E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'[SIN DRJ. Evolución Titular y Beneficiario.xlsx]TIT y BEN'!$A$43</c:f>
              <c:strCache>
                <c:ptCount val="1"/>
                <c:pt idx="0">
                  <c:v>Titulares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Beneficiario.xlsx]TIT y BEN'!$B$42:$F$42</c:f>
              <c:numCache>
                <c:formatCode>General</c:formatCode>
                <c:ptCount val="5"/>
                <c:pt idx="0">
                  <c:v>2019</c:v>
                </c:pt>
                <c:pt idx="1">
                  <c:v>2020</c:v>
                </c:pt>
                <c:pt idx="2">
                  <c:v>2021</c:v>
                </c:pt>
                <c:pt idx="3">
                  <c:v>2022</c:v>
                </c:pt>
                <c:pt idx="4">
                  <c:v>2023</c:v>
                </c:pt>
              </c:numCache>
            </c:numRef>
          </c:cat>
          <c:val>
            <c:numRef>
              <c:f>'[SIN DRJ. Evolución Titular y Beneficiario.xlsx]TIT y BEN'!$B$43:$F$43</c:f>
              <c:numCache>
                <c:formatCode>#,##0</c:formatCode>
                <c:ptCount val="5"/>
                <c:pt idx="0">
                  <c:v>15748</c:v>
                </c:pt>
                <c:pt idx="1">
                  <c:v>16656</c:v>
                </c:pt>
                <c:pt idx="2">
                  <c:v>18461</c:v>
                </c:pt>
                <c:pt idx="3">
                  <c:v>17285</c:v>
                </c:pt>
                <c:pt idx="4">
                  <c:v>15871</c:v>
                </c:pt>
              </c:numCache>
            </c:numRef>
          </c:val>
          <c:extLst>
            <c:ext xmlns:c16="http://schemas.microsoft.com/office/drawing/2014/chart" uri="{C3380CC4-5D6E-409C-BE32-E72D297353CC}">
              <c16:uniqueId val="{00000000-5725-4FA2-B3F7-AC4A9F1B1E78}"/>
            </c:ext>
          </c:extLst>
        </c:ser>
        <c:ser>
          <c:idx val="1"/>
          <c:order val="1"/>
          <c:tx>
            <c:strRef>
              <c:f>'[SIN DRJ. Evolución Titular y Beneficiario.xlsx]TIT y BEN'!$A$44</c:f>
              <c:strCache>
                <c:ptCount val="1"/>
                <c:pt idx="0">
                  <c:v>Beneficiarios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Beneficiario.xlsx]TIT y BEN'!$B$42:$F$42</c:f>
              <c:numCache>
                <c:formatCode>General</c:formatCode>
                <c:ptCount val="5"/>
                <c:pt idx="0">
                  <c:v>2019</c:v>
                </c:pt>
                <c:pt idx="1">
                  <c:v>2020</c:v>
                </c:pt>
                <c:pt idx="2">
                  <c:v>2021</c:v>
                </c:pt>
                <c:pt idx="3">
                  <c:v>2022</c:v>
                </c:pt>
                <c:pt idx="4">
                  <c:v>2023</c:v>
                </c:pt>
              </c:numCache>
            </c:numRef>
          </c:cat>
          <c:val>
            <c:numRef>
              <c:f>'[SIN DRJ. Evolución Titular y Beneficiario.xlsx]TIT y BEN'!$B$44:$F$44</c:f>
              <c:numCache>
                <c:formatCode>#,##0</c:formatCode>
                <c:ptCount val="5"/>
                <c:pt idx="0">
                  <c:v>36578</c:v>
                </c:pt>
                <c:pt idx="1">
                  <c:v>38514</c:v>
                </c:pt>
                <c:pt idx="2">
                  <c:v>41676</c:v>
                </c:pt>
                <c:pt idx="3">
                  <c:v>38507</c:v>
                </c:pt>
                <c:pt idx="4">
                  <c:v>35186</c:v>
                </c:pt>
              </c:numCache>
            </c:numRef>
          </c:val>
          <c:extLst>
            <c:ext xmlns:c16="http://schemas.microsoft.com/office/drawing/2014/chart" uri="{C3380CC4-5D6E-409C-BE32-E72D297353CC}">
              <c16:uniqueId val="{00000001-5725-4FA2-B3F7-AC4A9F1B1E78}"/>
            </c:ext>
          </c:extLst>
        </c:ser>
        <c:dLbls>
          <c:showLegendKey val="0"/>
          <c:showVal val="0"/>
          <c:showCatName val="0"/>
          <c:showSerName val="0"/>
          <c:showPercent val="0"/>
          <c:showBubbleSize val="0"/>
        </c:dLbls>
        <c:gapWidth val="219"/>
        <c:overlap val="-27"/>
        <c:axId val="696058904"/>
        <c:axId val="696056936"/>
      </c:barChart>
      <c:catAx>
        <c:axId val="696058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ES"/>
          </a:p>
        </c:txPr>
        <c:crossAx val="696056936"/>
        <c:crosses val="autoZero"/>
        <c:auto val="1"/>
        <c:lblAlgn val="ctr"/>
        <c:lblOffset val="100"/>
        <c:noMultiLvlLbl val="0"/>
      </c:catAx>
      <c:valAx>
        <c:axId val="696056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96058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300" b="1"/>
              <a:t>Porcentaje</a:t>
            </a:r>
            <a:r>
              <a:rPr lang="en-US" sz="1300" b="1" baseline="0"/>
              <a:t> de beneficiarios sobre el total por tramo de edad</a:t>
            </a:r>
            <a:endParaRPr lang="en-US" sz="1300"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'[SIN DRJ. Evolución Titular y Beneficiario.xlsx]EDAD'!$A$48</c:f>
              <c:strCache>
                <c:ptCount val="1"/>
                <c:pt idx="0">
                  <c:v>Menos 18 años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Beneficiario.xlsx]EDAD'!$B$47:$F$47</c:f>
              <c:numCache>
                <c:formatCode>General</c:formatCode>
                <c:ptCount val="5"/>
                <c:pt idx="0">
                  <c:v>2019</c:v>
                </c:pt>
                <c:pt idx="1">
                  <c:v>2020</c:v>
                </c:pt>
                <c:pt idx="2">
                  <c:v>2021</c:v>
                </c:pt>
                <c:pt idx="3">
                  <c:v>2022</c:v>
                </c:pt>
                <c:pt idx="4">
                  <c:v>2023</c:v>
                </c:pt>
              </c:numCache>
            </c:numRef>
          </c:cat>
          <c:val>
            <c:numRef>
              <c:f>'[SIN DRJ. Evolución Titular y Beneficiario.xlsx]EDAD'!$B$48:$F$48</c:f>
              <c:numCache>
                <c:formatCode>0.0%</c:formatCode>
                <c:ptCount val="5"/>
                <c:pt idx="0">
                  <c:v>0.392476351905517</c:v>
                </c:pt>
                <c:pt idx="1">
                  <c:v>0.39279223139637537</c:v>
                </c:pt>
                <c:pt idx="2">
                  <c:v>0.38098665898838663</c:v>
                </c:pt>
                <c:pt idx="3">
                  <c:v>0.37767159217804552</c:v>
                </c:pt>
                <c:pt idx="4">
                  <c:v>0.38341954186324106</c:v>
                </c:pt>
              </c:numCache>
            </c:numRef>
          </c:val>
          <c:extLst>
            <c:ext xmlns:c16="http://schemas.microsoft.com/office/drawing/2014/chart" uri="{C3380CC4-5D6E-409C-BE32-E72D297353CC}">
              <c16:uniqueId val="{00000000-B824-4EC2-B539-053F2D74FE50}"/>
            </c:ext>
          </c:extLst>
        </c:ser>
        <c:ser>
          <c:idx val="1"/>
          <c:order val="1"/>
          <c:tx>
            <c:strRef>
              <c:f>'[SIN DRJ. Evolución Titular y Beneficiario.xlsx]EDAD'!$A$49</c:f>
              <c:strCache>
                <c:ptCount val="1"/>
                <c:pt idx="0">
                  <c:v>Entre 18 y 29 años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Beneficiario.xlsx]EDAD'!$B$47:$F$47</c:f>
              <c:numCache>
                <c:formatCode>General</c:formatCode>
                <c:ptCount val="5"/>
                <c:pt idx="0">
                  <c:v>2019</c:v>
                </c:pt>
                <c:pt idx="1">
                  <c:v>2020</c:v>
                </c:pt>
                <c:pt idx="2">
                  <c:v>2021</c:v>
                </c:pt>
                <c:pt idx="3">
                  <c:v>2022</c:v>
                </c:pt>
                <c:pt idx="4">
                  <c:v>2023</c:v>
                </c:pt>
              </c:numCache>
            </c:numRef>
          </c:cat>
          <c:val>
            <c:numRef>
              <c:f>'[SIN DRJ. Evolución Titular y Beneficiario.xlsx]EDAD'!$B$49:$F$49</c:f>
              <c:numCache>
                <c:formatCode>0.0%</c:formatCode>
                <c:ptCount val="5"/>
                <c:pt idx="0">
                  <c:v>0.1290666520859533</c:v>
                </c:pt>
                <c:pt idx="1">
                  <c:v>0.12971906319779819</c:v>
                </c:pt>
                <c:pt idx="2">
                  <c:v>0.13508973989826278</c:v>
                </c:pt>
                <c:pt idx="3">
                  <c:v>0.13491053574674736</c:v>
                </c:pt>
                <c:pt idx="4">
                  <c:v>0.13027908827374524</c:v>
                </c:pt>
              </c:numCache>
            </c:numRef>
          </c:val>
          <c:extLst>
            <c:ext xmlns:c16="http://schemas.microsoft.com/office/drawing/2014/chart" uri="{C3380CC4-5D6E-409C-BE32-E72D297353CC}">
              <c16:uniqueId val="{00000001-B824-4EC2-B539-053F2D74FE50}"/>
            </c:ext>
          </c:extLst>
        </c:ser>
        <c:ser>
          <c:idx val="2"/>
          <c:order val="2"/>
          <c:tx>
            <c:strRef>
              <c:f>'[SIN DRJ. Evolución Titular y Beneficiario.xlsx]EDAD'!$A$50</c:f>
              <c:strCache>
                <c:ptCount val="1"/>
                <c:pt idx="0">
                  <c:v>Entre 30 y 44 años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Beneficiario.xlsx]EDAD'!$B$47:$F$47</c:f>
              <c:numCache>
                <c:formatCode>General</c:formatCode>
                <c:ptCount val="5"/>
                <c:pt idx="0">
                  <c:v>2019</c:v>
                </c:pt>
                <c:pt idx="1">
                  <c:v>2020</c:v>
                </c:pt>
                <c:pt idx="2">
                  <c:v>2021</c:v>
                </c:pt>
                <c:pt idx="3">
                  <c:v>2022</c:v>
                </c:pt>
                <c:pt idx="4">
                  <c:v>2023</c:v>
                </c:pt>
              </c:numCache>
            </c:numRef>
          </c:cat>
          <c:val>
            <c:numRef>
              <c:f>'[SIN DRJ. Evolución Titular y Beneficiario.xlsx]EDAD'!$B$50:$F$50</c:f>
              <c:numCache>
                <c:formatCode>0.0%</c:formatCode>
                <c:ptCount val="5"/>
                <c:pt idx="0">
                  <c:v>0.24022636557493576</c:v>
                </c:pt>
                <c:pt idx="1">
                  <c:v>0.23978293607519344</c:v>
                </c:pt>
                <c:pt idx="2">
                  <c:v>0.24205777905749112</c:v>
                </c:pt>
                <c:pt idx="3">
                  <c:v>0.23735944114057184</c:v>
                </c:pt>
                <c:pt idx="4">
                  <c:v>0.23281987153981698</c:v>
                </c:pt>
              </c:numCache>
            </c:numRef>
          </c:val>
          <c:extLst>
            <c:ext xmlns:c16="http://schemas.microsoft.com/office/drawing/2014/chart" uri="{C3380CC4-5D6E-409C-BE32-E72D297353CC}">
              <c16:uniqueId val="{00000002-B824-4EC2-B539-053F2D74FE50}"/>
            </c:ext>
          </c:extLst>
        </c:ser>
        <c:ser>
          <c:idx val="3"/>
          <c:order val="3"/>
          <c:tx>
            <c:strRef>
              <c:f>'[SIN DRJ. Evolución Titular y Beneficiario.xlsx]EDAD'!$A$51</c:f>
              <c:strCache>
                <c:ptCount val="1"/>
                <c:pt idx="0">
                  <c:v>Entre 45 y 64 años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Beneficiario.xlsx]EDAD'!$B$47:$F$47</c:f>
              <c:numCache>
                <c:formatCode>General</c:formatCode>
                <c:ptCount val="5"/>
                <c:pt idx="0">
                  <c:v>2019</c:v>
                </c:pt>
                <c:pt idx="1">
                  <c:v>2020</c:v>
                </c:pt>
                <c:pt idx="2">
                  <c:v>2021</c:v>
                </c:pt>
                <c:pt idx="3">
                  <c:v>2022</c:v>
                </c:pt>
                <c:pt idx="4">
                  <c:v>2023</c:v>
                </c:pt>
              </c:numCache>
            </c:numRef>
          </c:cat>
          <c:val>
            <c:numRef>
              <c:f>'[SIN DRJ. Evolución Titular y Beneficiario.xlsx]EDAD'!$B$51:$F$51</c:f>
              <c:numCache>
                <c:formatCode>0.0%</c:formatCode>
                <c:ptCount val="5"/>
                <c:pt idx="0">
                  <c:v>0.22125321231341244</c:v>
                </c:pt>
                <c:pt idx="1">
                  <c:v>0.22020563950771149</c:v>
                </c:pt>
                <c:pt idx="2">
                  <c:v>0.22264612726749208</c:v>
                </c:pt>
                <c:pt idx="3">
                  <c:v>0.22886747864024723</c:v>
                </c:pt>
                <c:pt idx="4">
                  <c:v>0.23006309327573465</c:v>
                </c:pt>
              </c:numCache>
            </c:numRef>
          </c:val>
          <c:extLst>
            <c:ext xmlns:c16="http://schemas.microsoft.com/office/drawing/2014/chart" uri="{C3380CC4-5D6E-409C-BE32-E72D297353CC}">
              <c16:uniqueId val="{00000003-B824-4EC2-B539-053F2D74FE50}"/>
            </c:ext>
          </c:extLst>
        </c:ser>
        <c:ser>
          <c:idx val="4"/>
          <c:order val="4"/>
          <c:tx>
            <c:strRef>
              <c:f>'[SIN DRJ. Evolución Titular y Beneficiario.xlsx]EDAD'!$A$52</c:f>
              <c:strCache>
                <c:ptCount val="1"/>
                <c:pt idx="0">
                  <c:v>Más de 65 años</c:v>
                </c:pt>
              </c:strCache>
            </c:strRef>
          </c:tx>
          <c:spPr>
            <a:solidFill>
              <a:schemeClr val="accent5"/>
            </a:solidFill>
            <a:ln>
              <a:noFill/>
            </a:ln>
            <a:effectLst/>
          </c:spPr>
          <c:invertIfNegative val="0"/>
          <c:dLbls>
            <c:dLbl>
              <c:idx val="0"/>
              <c:layout>
                <c:manualLayout>
                  <c:x val="0"/>
                  <c:y val="-3.381948848023673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24-4EC2-B539-053F2D74FE50}"/>
                </c:ext>
              </c:extLst>
            </c:dLbl>
            <c:dLbl>
              <c:idx val="1"/>
              <c:layout>
                <c:manualLayout>
                  <c:x val="0"/>
                  <c:y val="-2.959205242020714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24-4EC2-B539-053F2D74FE50}"/>
                </c:ext>
              </c:extLst>
            </c:dLbl>
            <c:dLbl>
              <c:idx val="2"/>
              <c:layout>
                <c:manualLayout>
                  <c:x val="0"/>
                  <c:y val="-2.536461636017757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24-4EC2-B539-053F2D74FE50}"/>
                </c:ext>
              </c:extLst>
            </c:dLbl>
            <c:dLbl>
              <c:idx val="3"/>
              <c:layout>
                <c:manualLayout>
                  <c:x val="0"/>
                  <c:y val="-2.536461636017757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824-4EC2-B539-053F2D74FE50}"/>
                </c:ext>
              </c:extLst>
            </c:dLbl>
            <c:dLbl>
              <c:idx val="4"/>
              <c:layout>
                <c:manualLayout>
                  <c:x val="-1.6559215578682434E-16"/>
                  <c:y val="-2.536461636017755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824-4EC2-B539-053F2D74FE5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'[SIN DRJ. Evolución Titular y Beneficiario.xlsx]EDAD'!$B$47:$F$47</c:f>
              <c:numCache>
                <c:formatCode>General</c:formatCode>
                <c:ptCount val="5"/>
                <c:pt idx="0">
                  <c:v>2019</c:v>
                </c:pt>
                <c:pt idx="1">
                  <c:v>2020</c:v>
                </c:pt>
                <c:pt idx="2">
                  <c:v>2021</c:v>
                </c:pt>
                <c:pt idx="3">
                  <c:v>2022</c:v>
                </c:pt>
                <c:pt idx="4">
                  <c:v>2023</c:v>
                </c:pt>
              </c:numCache>
            </c:numRef>
          </c:cat>
          <c:val>
            <c:numRef>
              <c:f>'[SIN DRJ. Evolución Titular y Beneficiario.xlsx]EDAD'!$B$52:$F$52</c:f>
              <c:numCache>
                <c:formatCode>0.0%</c:formatCode>
                <c:ptCount val="5"/>
                <c:pt idx="0">
                  <c:v>1.6977418120181529E-2</c:v>
                </c:pt>
                <c:pt idx="1">
                  <c:v>1.7500129822921536E-2</c:v>
                </c:pt>
                <c:pt idx="2">
                  <c:v>1.9219694788367405E-2</c:v>
                </c:pt>
                <c:pt idx="3">
                  <c:v>2.1190952294388034E-2</c:v>
                </c:pt>
                <c:pt idx="4">
                  <c:v>2.3418405047462058E-2</c:v>
                </c:pt>
              </c:numCache>
            </c:numRef>
          </c:val>
          <c:extLst>
            <c:ext xmlns:c16="http://schemas.microsoft.com/office/drawing/2014/chart" uri="{C3380CC4-5D6E-409C-BE32-E72D297353CC}">
              <c16:uniqueId val="{00000004-B824-4EC2-B539-053F2D74FE50}"/>
            </c:ext>
          </c:extLst>
        </c:ser>
        <c:dLbls>
          <c:dLblPos val="ctr"/>
          <c:showLegendKey val="0"/>
          <c:showVal val="1"/>
          <c:showCatName val="0"/>
          <c:showSerName val="0"/>
          <c:showPercent val="0"/>
          <c:showBubbleSize val="0"/>
        </c:dLbls>
        <c:gapWidth val="150"/>
        <c:overlap val="100"/>
        <c:axId val="2097683272"/>
        <c:axId val="2097681632"/>
      </c:barChart>
      <c:catAx>
        <c:axId val="2097683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1" i="0" u="none" strike="noStrike" kern="1200" baseline="0">
                <a:solidFill>
                  <a:schemeClr val="tx1">
                    <a:lumMod val="65000"/>
                    <a:lumOff val="35000"/>
                  </a:schemeClr>
                </a:solidFill>
                <a:latin typeface="+mn-lt"/>
                <a:ea typeface="+mn-ea"/>
                <a:cs typeface="+mn-cs"/>
              </a:defRPr>
            </a:pPr>
            <a:endParaRPr lang="es-ES"/>
          </a:p>
        </c:txPr>
        <c:crossAx val="2097681632"/>
        <c:crosses val="autoZero"/>
        <c:auto val="1"/>
        <c:lblAlgn val="ctr"/>
        <c:lblOffset val="100"/>
        <c:noMultiLvlLbl val="0"/>
      </c:catAx>
      <c:valAx>
        <c:axId val="2097681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97683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45" b="1"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s-ES" sz="1200" b="1"/>
              <a:t>Porcentaje de beneficiarios sobre</a:t>
            </a:r>
            <a:r>
              <a:rPr lang="es-ES" sz="1200" b="1" baseline="0"/>
              <a:t> el total por lugar de nacimiento y nacionalidad</a:t>
            </a:r>
            <a:endParaRPr lang="es-ES" sz="1200" b="1"/>
          </a:p>
        </c:rich>
      </c:tx>
      <c:layout>
        <c:manualLayout>
          <c:xMode val="edge"/>
          <c:yMode val="edge"/>
          <c:x val="0.1185314362819615"/>
          <c:y val="1.7873415511210786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percentStacked"/>
        <c:varyColors val="0"/>
        <c:ser>
          <c:idx val="0"/>
          <c:order val="0"/>
          <c:tx>
            <c:strRef>
              <c:f>'[SIN DRJ. Evolución Titular y Beneficiario.xlsx]LUGAR NACIMIENTO'!$P$59</c:f>
              <c:strCache>
                <c:ptCount val="1"/>
                <c:pt idx="0">
                  <c:v>España</c:v>
                </c:pt>
              </c:strCache>
            </c:strRef>
          </c:tx>
          <c:spPr>
            <a:solidFill>
              <a:schemeClr val="accent1"/>
            </a:solidFill>
            <a:ln>
              <a:noFill/>
            </a:ln>
            <a:effectLst/>
          </c:spPr>
          <c:invertIfNegative val="0"/>
          <c:dPt>
            <c:idx val="1"/>
            <c:invertIfNegative val="0"/>
            <c:bubble3D val="0"/>
            <c:spPr>
              <a:solidFill>
                <a:schemeClr val="accent1">
                  <a:lumMod val="40000"/>
                  <a:lumOff val="60000"/>
                </a:schemeClr>
              </a:solidFill>
              <a:ln>
                <a:solidFill>
                  <a:schemeClr val="accent1">
                    <a:lumMod val="60000"/>
                    <a:lumOff val="40000"/>
                  </a:schemeClr>
                </a:solidFill>
              </a:ln>
              <a:effectLst/>
            </c:spPr>
            <c:extLst>
              <c:ext xmlns:c16="http://schemas.microsoft.com/office/drawing/2014/chart" uri="{C3380CC4-5D6E-409C-BE32-E72D297353CC}">
                <c16:uniqueId val="{00000001-3049-4755-99A4-62A85469D91F}"/>
              </c:ext>
            </c:extLst>
          </c:dPt>
          <c:dPt>
            <c:idx val="3"/>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3-3049-4755-99A4-62A85469D91F}"/>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5-3049-4755-99A4-62A85469D91F}"/>
              </c:ext>
            </c:extLst>
          </c:dPt>
          <c:dPt>
            <c:idx val="7"/>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7-3049-4755-99A4-62A85469D91F}"/>
              </c:ext>
            </c:extLst>
          </c:dPt>
          <c:dPt>
            <c:idx val="9"/>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3049-4755-99A4-62A85469D91F}"/>
              </c:ext>
            </c:extLst>
          </c:dPt>
          <c:dLbls>
            <c:spPr>
              <a:noFill/>
              <a:ln>
                <a:noFill/>
              </a:ln>
              <a:effectLst/>
            </c:spPr>
            <c:txPr>
              <a:bodyPr rot="0" spcFirstLastPara="1" vertOverflow="ellipsis" vert="horz" wrap="square" lIns="38100" tIns="19050" rIns="38100" bIns="19050" anchor="ctr" anchorCtr="1">
                <a:spAutoFit/>
              </a:bodyPr>
              <a:lstStyle/>
              <a:p>
                <a:pPr>
                  <a:defRPr sz="950" b="1"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'[SIN DRJ. Evolución Titular y Beneficiario.xlsx]LUGAR NACIMIENTO'!$Q$57:$Z$58</c:f>
              <c:multiLvlStrCache>
                <c:ptCount val="10"/>
                <c:lvl>
                  <c:pt idx="0">
                    <c:v>Lugar nacimiento</c:v>
                  </c:pt>
                  <c:pt idx="1">
                    <c:v>Nacionalidad</c:v>
                  </c:pt>
                  <c:pt idx="2">
                    <c:v>Lugar nacimiento</c:v>
                  </c:pt>
                  <c:pt idx="3">
                    <c:v>Nacionalidad</c:v>
                  </c:pt>
                  <c:pt idx="4">
                    <c:v>Lugar nacimiento</c:v>
                  </c:pt>
                  <c:pt idx="5">
                    <c:v>Nacionalidad</c:v>
                  </c:pt>
                  <c:pt idx="6">
                    <c:v>Lugar nacimiento</c:v>
                  </c:pt>
                  <c:pt idx="7">
                    <c:v>Nacionalidad</c:v>
                  </c:pt>
                  <c:pt idx="8">
                    <c:v>Lugar nacimiento</c:v>
                  </c:pt>
                  <c:pt idx="9">
                    <c:v>Nacionalidad</c:v>
                  </c:pt>
                </c:lvl>
                <c:lvl>
                  <c:pt idx="0">
                    <c:v>2019</c:v>
                  </c:pt>
                  <c:pt idx="2">
                    <c:v>2020</c:v>
                  </c:pt>
                  <c:pt idx="4">
                    <c:v>2021</c:v>
                  </c:pt>
                  <c:pt idx="6">
                    <c:v>2022</c:v>
                  </c:pt>
                  <c:pt idx="8">
                    <c:v>2023</c:v>
                  </c:pt>
                </c:lvl>
              </c:multiLvlStrCache>
            </c:multiLvlStrRef>
          </c:cat>
          <c:val>
            <c:numRef>
              <c:f>'[SIN DRJ. Evolución Titular y Beneficiario.xlsx]LUGAR NACIMIENTO'!$Q$59:$Z$59</c:f>
              <c:numCache>
                <c:formatCode>0.0%</c:formatCode>
                <c:ptCount val="10"/>
                <c:pt idx="0">
                  <c:v>0.55342008857783365</c:v>
                </c:pt>
                <c:pt idx="1">
                  <c:v>0.64264288609647346</c:v>
                </c:pt>
                <c:pt idx="2">
                  <c:v>0.53549358674767622</c:v>
                </c:pt>
                <c:pt idx="3">
                  <c:v>0.61419035475886896</c:v>
                </c:pt>
                <c:pt idx="4">
                  <c:v>0.51655629139072845</c:v>
                </c:pt>
                <c:pt idx="5">
                  <c:v>0.59537503564977656</c:v>
                </c:pt>
                <c:pt idx="6">
                  <c:v>0.50351884073025688</c:v>
                </c:pt>
                <c:pt idx="7">
                  <c:v>0.57728561575599657</c:v>
                </c:pt>
                <c:pt idx="8">
                  <c:v>0.48900130733814584</c:v>
                </c:pt>
                <c:pt idx="9">
                  <c:v>0.55928308823529416</c:v>
                </c:pt>
              </c:numCache>
            </c:numRef>
          </c:val>
          <c:extLst>
            <c:ext xmlns:c16="http://schemas.microsoft.com/office/drawing/2014/chart" uri="{C3380CC4-5D6E-409C-BE32-E72D297353CC}">
              <c16:uniqueId val="{0000000A-3049-4755-99A4-62A85469D91F}"/>
            </c:ext>
          </c:extLst>
        </c:ser>
        <c:ser>
          <c:idx val="1"/>
          <c:order val="1"/>
          <c:tx>
            <c:strRef>
              <c:f>'[SIN DRJ. Evolución Titular y Beneficiario.xlsx]LUGAR NACIMIENTO'!$P$60</c:f>
              <c:strCache>
                <c:ptCount val="1"/>
                <c:pt idx="0">
                  <c:v>Comunitaria</c:v>
                </c:pt>
              </c:strCache>
            </c:strRef>
          </c:tx>
          <c:spPr>
            <a:solidFill>
              <a:schemeClr val="accent2"/>
            </a:solidFill>
            <a:ln>
              <a:noFill/>
            </a:ln>
            <a:effectLst/>
          </c:spPr>
          <c:invertIfNegative val="0"/>
          <c:dPt>
            <c:idx val="1"/>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C-3049-4755-99A4-62A85469D91F}"/>
              </c:ext>
            </c:extLst>
          </c:dPt>
          <c:dPt>
            <c:idx val="3"/>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E-3049-4755-99A4-62A85469D91F}"/>
              </c:ext>
            </c:extLst>
          </c:dPt>
          <c:dPt>
            <c:idx val="5"/>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10-3049-4755-99A4-62A85469D91F}"/>
              </c:ext>
            </c:extLst>
          </c:dPt>
          <c:dPt>
            <c:idx val="7"/>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12-3049-4755-99A4-62A85469D91F}"/>
              </c:ext>
            </c:extLst>
          </c:dPt>
          <c:dPt>
            <c:idx val="9"/>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14-3049-4755-99A4-62A85469D91F}"/>
              </c:ext>
            </c:extLst>
          </c:dPt>
          <c:dLbls>
            <c:spPr>
              <a:noFill/>
              <a:ln>
                <a:noFill/>
              </a:ln>
              <a:effectLst/>
            </c:spPr>
            <c:txPr>
              <a:bodyPr rot="0" spcFirstLastPara="1" vertOverflow="ellipsis" vert="horz" wrap="square" lIns="38100" tIns="19050" rIns="38100" bIns="19050" anchor="ctr" anchorCtr="1">
                <a:spAutoFit/>
              </a:bodyPr>
              <a:lstStyle/>
              <a:p>
                <a:pPr>
                  <a:defRPr sz="95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'[SIN DRJ. Evolución Titular y Beneficiario.xlsx]LUGAR NACIMIENTO'!$Q$57:$Z$58</c:f>
              <c:multiLvlStrCache>
                <c:ptCount val="10"/>
                <c:lvl>
                  <c:pt idx="0">
                    <c:v>Lugar nacimiento</c:v>
                  </c:pt>
                  <c:pt idx="1">
                    <c:v>Nacionalidad</c:v>
                  </c:pt>
                  <c:pt idx="2">
                    <c:v>Lugar nacimiento</c:v>
                  </c:pt>
                  <c:pt idx="3">
                    <c:v>Nacionalidad</c:v>
                  </c:pt>
                  <c:pt idx="4">
                    <c:v>Lugar nacimiento</c:v>
                  </c:pt>
                  <c:pt idx="5">
                    <c:v>Nacionalidad</c:v>
                  </c:pt>
                  <c:pt idx="6">
                    <c:v>Lugar nacimiento</c:v>
                  </c:pt>
                  <c:pt idx="7">
                    <c:v>Nacionalidad</c:v>
                  </c:pt>
                  <c:pt idx="8">
                    <c:v>Lugar nacimiento</c:v>
                  </c:pt>
                  <c:pt idx="9">
                    <c:v>Nacionalidad</c:v>
                  </c:pt>
                </c:lvl>
                <c:lvl>
                  <c:pt idx="0">
                    <c:v>2019</c:v>
                  </c:pt>
                  <c:pt idx="2">
                    <c:v>2020</c:v>
                  </c:pt>
                  <c:pt idx="4">
                    <c:v>2021</c:v>
                  </c:pt>
                  <c:pt idx="6">
                    <c:v>2022</c:v>
                  </c:pt>
                  <c:pt idx="8">
                    <c:v>2023</c:v>
                  </c:pt>
                </c:lvl>
              </c:multiLvlStrCache>
            </c:multiLvlStrRef>
          </c:cat>
          <c:val>
            <c:numRef>
              <c:f>'[SIN DRJ. Evolución Titular y Beneficiario.xlsx]LUGAR NACIMIENTO'!$Q$60:$Z$60</c:f>
              <c:numCache>
                <c:formatCode>0.0%</c:formatCode>
                <c:ptCount val="10"/>
                <c:pt idx="0">
                  <c:v>7.3131390453277934E-2</c:v>
                </c:pt>
                <c:pt idx="1">
                  <c:v>6.774760167544927E-2</c:v>
                </c:pt>
                <c:pt idx="2">
                  <c:v>6.8312821311730804E-2</c:v>
                </c:pt>
                <c:pt idx="3">
                  <c:v>6.1601540038500963E-2</c:v>
                </c:pt>
                <c:pt idx="4">
                  <c:v>6.5169402053939923E-2</c:v>
                </c:pt>
                <c:pt idx="5">
                  <c:v>5.7966536743036409E-2</c:v>
                </c:pt>
                <c:pt idx="6">
                  <c:v>6.3443010361752414E-2</c:v>
                </c:pt>
                <c:pt idx="7">
                  <c:v>5.6683781643548675E-2</c:v>
                </c:pt>
                <c:pt idx="8">
                  <c:v>6.1075427726936853E-2</c:v>
                </c:pt>
                <c:pt idx="9">
                  <c:v>5.1903114186851208E-2</c:v>
                </c:pt>
              </c:numCache>
            </c:numRef>
          </c:val>
          <c:extLst>
            <c:ext xmlns:c16="http://schemas.microsoft.com/office/drawing/2014/chart" uri="{C3380CC4-5D6E-409C-BE32-E72D297353CC}">
              <c16:uniqueId val="{00000015-3049-4755-99A4-62A85469D91F}"/>
            </c:ext>
          </c:extLst>
        </c:ser>
        <c:ser>
          <c:idx val="2"/>
          <c:order val="2"/>
          <c:tx>
            <c:strRef>
              <c:f>'[SIN DRJ. Evolución Titular y Beneficiario.xlsx]LUGAR NACIMIENTO'!$P$61</c:f>
              <c:strCache>
                <c:ptCount val="1"/>
                <c:pt idx="0">
                  <c:v>Extracomunitaria</c:v>
                </c:pt>
              </c:strCache>
            </c:strRef>
          </c:tx>
          <c:spPr>
            <a:solidFill>
              <a:schemeClr val="accent3"/>
            </a:solidFill>
            <a:ln>
              <a:noFill/>
            </a:ln>
            <a:effectLst/>
          </c:spPr>
          <c:invertIfNegative val="0"/>
          <c:dPt>
            <c:idx val="1"/>
            <c:invertIfNegative val="0"/>
            <c:bubble3D val="0"/>
            <c:spPr>
              <a:solidFill>
                <a:schemeClr val="bg2"/>
              </a:solidFill>
              <a:ln>
                <a:noFill/>
              </a:ln>
              <a:effectLst/>
            </c:spPr>
            <c:extLst>
              <c:ext xmlns:c16="http://schemas.microsoft.com/office/drawing/2014/chart" uri="{C3380CC4-5D6E-409C-BE32-E72D297353CC}">
                <c16:uniqueId val="{00000017-3049-4755-99A4-62A85469D91F}"/>
              </c:ext>
            </c:extLst>
          </c:dPt>
          <c:dPt>
            <c:idx val="3"/>
            <c:invertIfNegative val="0"/>
            <c:bubble3D val="0"/>
            <c:spPr>
              <a:solidFill>
                <a:schemeClr val="bg2"/>
              </a:solidFill>
              <a:ln>
                <a:noFill/>
              </a:ln>
              <a:effectLst/>
            </c:spPr>
            <c:extLst>
              <c:ext xmlns:c16="http://schemas.microsoft.com/office/drawing/2014/chart" uri="{C3380CC4-5D6E-409C-BE32-E72D297353CC}">
                <c16:uniqueId val="{00000019-3049-4755-99A4-62A85469D91F}"/>
              </c:ext>
            </c:extLst>
          </c:dPt>
          <c:dPt>
            <c:idx val="5"/>
            <c:invertIfNegative val="0"/>
            <c:bubble3D val="0"/>
            <c:spPr>
              <a:solidFill>
                <a:schemeClr val="bg2"/>
              </a:solidFill>
              <a:ln>
                <a:noFill/>
              </a:ln>
              <a:effectLst/>
            </c:spPr>
            <c:extLst>
              <c:ext xmlns:c16="http://schemas.microsoft.com/office/drawing/2014/chart" uri="{C3380CC4-5D6E-409C-BE32-E72D297353CC}">
                <c16:uniqueId val="{0000001B-3049-4755-99A4-62A85469D91F}"/>
              </c:ext>
            </c:extLst>
          </c:dPt>
          <c:dPt>
            <c:idx val="7"/>
            <c:invertIfNegative val="0"/>
            <c:bubble3D val="0"/>
            <c:spPr>
              <a:solidFill>
                <a:schemeClr val="bg2"/>
              </a:solidFill>
              <a:ln>
                <a:noFill/>
              </a:ln>
              <a:effectLst/>
            </c:spPr>
            <c:extLst>
              <c:ext xmlns:c16="http://schemas.microsoft.com/office/drawing/2014/chart" uri="{C3380CC4-5D6E-409C-BE32-E72D297353CC}">
                <c16:uniqueId val="{0000001D-3049-4755-99A4-62A85469D91F}"/>
              </c:ext>
            </c:extLst>
          </c:dPt>
          <c:dPt>
            <c:idx val="9"/>
            <c:invertIfNegative val="0"/>
            <c:bubble3D val="0"/>
            <c:spPr>
              <a:solidFill>
                <a:schemeClr val="bg2"/>
              </a:solidFill>
              <a:ln>
                <a:noFill/>
              </a:ln>
              <a:effectLst/>
            </c:spPr>
            <c:extLst>
              <c:ext xmlns:c16="http://schemas.microsoft.com/office/drawing/2014/chart" uri="{C3380CC4-5D6E-409C-BE32-E72D297353CC}">
                <c16:uniqueId val="{0000001F-3049-4755-99A4-62A85469D91F}"/>
              </c:ext>
            </c:extLst>
          </c:dPt>
          <c:dLbls>
            <c:spPr>
              <a:noFill/>
              <a:ln>
                <a:noFill/>
              </a:ln>
              <a:effectLst/>
            </c:spPr>
            <c:txPr>
              <a:bodyPr rot="0" spcFirstLastPara="1" vertOverflow="ellipsis" vert="horz" wrap="square" lIns="38100" tIns="19050" rIns="38100" bIns="19050" anchor="ctr" anchorCtr="1">
                <a:spAutoFit/>
              </a:bodyPr>
              <a:lstStyle/>
              <a:p>
                <a:pPr>
                  <a:defRPr sz="950" b="1"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'[SIN DRJ. Evolución Titular y Beneficiario.xlsx]LUGAR NACIMIENTO'!$Q$57:$Z$58</c:f>
              <c:multiLvlStrCache>
                <c:ptCount val="10"/>
                <c:lvl>
                  <c:pt idx="0">
                    <c:v>Lugar nacimiento</c:v>
                  </c:pt>
                  <c:pt idx="1">
                    <c:v>Nacionalidad</c:v>
                  </c:pt>
                  <c:pt idx="2">
                    <c:v>Lugar nacimiento</c:v>
                  </c:pt>
                  <c:pt idx="3">
                    <c:v>Nacionalidad</c:v>
                  </c:pt>
                  <c:pt idx="4">
                    <c:v>Lugar nacimiento</c:v>
                  </c:pt>
                  <c:pt idx="5">
                    <c:v>Nacionalidad</c:v>
                  </c:pt>
                  <c:pt idx="6">
                    <c:v>Lugar nacimiento</c:v>
                  </c:pt>
                  <c:pt idx="7">
                    <c:v>Nacionalidad</c:v>
                  </c:pt>
                  <c:pt idx="8">
                    <c:v>Lugar nacimiento</c:v>
                  </c:pt>
                  <c:pt idx="9">
                    <c:v>Nacionalidad</c:v>
                  </c:pt>
                </c:lvl>
                <c:lvl>
                  <c:pt idx="0">
                    <c:v>2019</c:v>
                  </c:pt>
                  <c:pt idx="2">
                    <c:v>2020</c:v>
                  </c:pt>
                  <c:pt idx="4">
                    <c:v>2021</c:v>
                  </c:pt>
                  <c:pt idx="6">
                    <c:v>2022</c:v>
                  </c:pt>
                  <c:pt idx="8">
                    <c:v>2023</c:v>
                  </c:pt>
                </c:lvl>
              </c:multiLvlStrCache>
            </c:multiLvlStrRef>
          </c:cat>
          <c:val>
            <c:numRef>
              <c:f>'[SIN DRJ. Evolución Titular y Beneficiario.xlsx]LUGAR NACIMIENTO'!$Q$61:$Z$61</c:f>
              <c:numCache>
                <c:formatCode>0.0%</c:formatCode>
                <c:ptCount val="10"/>
                <c:pt idx="0">
                  <c:v>0.37344852096888836</c:v>
                </c:pt>
                <c:pt idx="1">
                  <c:v>0.28960951222807729</c:v>
                </c:pt>
                <c:pt idx="2">
                  <c:v>0.39619359194059306</c:v>
                </c:pt>
                <c:pt idx="3">
                  <c:v>0.32420810520263005</c:v>
                </c:pt>
                <c:pt idx="4">
                  <c:v>0.4182743065553316</c:v>
                </c:pt>
                <c:pt idx="5">
                  <c:v>0.34665842760718701</c:v>
                </c:pt>
                <c:pt idx="6">
                  <c:v>0.43303814890799075</c:v>
                </c:pt>
                <c:pt idx="7">
                  <c:v>0.36603060260045467</c:v>
                </c:pt>
                <c:pt idx="8">
                  <c:v>0.4499232649349173</c:v>
                </c:pt>
                <c:pt idx="9">
                  <c:v>0.38881379757785467</c:v>
                </c:pt>
              </c:numCache>
            </c:numRef>
          </c:val>
          <c:extLst>
            <c:ext xmlns:c16="http://schemas.microsoft.com/office/drawing/2014/chart" uri="{C3380CC4-5D6E-409C-BE32-E72D297353CC}">
              <c16:uniqueId val="{00000020-3049-4755-99A4-62A85469D91F}"/>
            </c:ext>
          </c:extLst>
        </c:ser>
        <c:dLbls>
          <c:showLegendKey val="0"/>
          <c:showVal val="0"/>
          <c:showCatName val="0"/>
          <c:showSerName val="0"/>
          <c:showPercent val="0"/>
          <c:showBubbleSize val="0"/>
        </c:dLbls>
        <c:gapWidth val="90"/>
        <c:overlap val="100"/>
        <c:axId val="177806271"/>
        <c:axId val="177807255"/>
      </c:barChart>
      <c:catAx>
        <c:axId val="177806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1" i="0" u="none" strike="noStrike" kern="1200" baseline="0">
                <a:solidFill>
                  <a:schemeClr val="tx1">
                    <a:lumMod val="65000"/>
                    <a:lumOff val="35000"/>
                  </a:schemeClr>
                </a:solidFill>
                <a:latin typeface="+mn-lt"/>
                <a:ea typeface="+mn-ea"/>
                <a:cs typeface="+mn-cs"/>
              </a:defRPr>
            </a:pPr>
            <a:endParaRPr lang="es-ES"/>
          </a:p>
        </c:txPr>
        <c:crossAx val="177807255"/>
        <c:crosses val="autoZero"/>
        <c:auto val="1"/>
        <c:lblAlgn val="ctr"/>
        <c:lblOffset val="100"/>
        <c:tickLblSkip val="1"/>
        <c:tickMarkSkip val="1"/>
        <c:noMultiLvlLbl val="0"/>
      </c:catAx>
      <c:valAx>
        <c:axId val="1778072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77806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b="1"/>
              <a:t>Número miembros unidades familiares perceptoras de RG</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percentStacked"/>
        <c:varyColors val="0"/>
        <c:ser>
          <c:idx val="0"/>
          <c:order val="0"/>
          <c:tx>
            <c:strRef>
              <c:f>'[SIN DRJ. Evolución Titular y Beneficiario.xlsx]NºMIEMBRO'!$A$23</c:f>
              <c:strCache>
                <c:ptCount val="1"/>
                <c:pt idx="0">
                  <c:v>1 miembro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'[SIN DRJ. Evolución Titular y Beneficiario.xlsx]NºMIEMBRO'!$B$22:$F$22</c:f>
              <c:strCache>
                <c:ptCount val="5"/>
                <c:pt idx="0">
                  <c:v>2019</c:v>
                </c:pt>
                <c:pt idx="1">
                  <c:v>2020</c:v>
                </c:pt>
                <c:pt idx="2">
                  <c:v>2021</c:v>
                </c:pt>
                <c:pt idx="3">
                  <c:v>2022</c:v>
                </c:pt>
                <c:pt idx="4">
                  <c:v>2023</c:v>
                </c:pt>
              </c:strCache>
            </c:strRef>
          </c:cat>
          <c:val>
            <c:numRef>
              <c:f>'[SIN DRJ. Evolución Titular y Beneficiario.xlsx]NºMIEMBRO'!$B$23:$F$23</c:f>
              <c:numCache>
                <c:formatCode>0.0%</c:formatCode>
                <c:ptCount val="5"/>
                <c:pt idx="0">
                  <c:v>0.43065786131572265</c:v>
                </c:pt>
                <c:pt idx="1">
                  <c:v>0.43840057636887608</c:v>
                </c:pt>
                <c:pt idx="2">
                  <c:v>0.45745084231623423</c:v>
                </c:pt>
                <c:pt idx="3">
                  <c:v>0.47330054960948797</c:v>
                </c:pt>
                <c:pt idx="4">
                  <c:v>0.47854577531346482</c:v>
                </c:pt>
              </c:numCache>
            </c:numRef>
          </c:val>
          <c:extLst>
            <c:ext xmlns:c16="http://schemas.microsoft.com/office/drawing/2014/chart" uri="{C3380CC4-5D6E-409C-BE32-E72D297353CC}">
              <c16:uniqueId val="{00000000-F8C7-441B-B2A2-6BC5804E6995}"/>
            </c:ext>
          </c:extLst>
        </c:ser>
        <c:ser>
          <c:idx val="1"/>
          <c:order val="1"/>
          <c:tx>
            <c:strRef>
              <c:f>'[SIN DRJ. Evolución Titular y Beneficiario.xlsx]NºMIEMBRO'!$A$24</c:f>
              <c:strCache>
                <c:ptCount val="1"/>
                <c:pt idx="0">
                  <c:v>2 miembros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'[SIN DRJ. Evolución Titular y Beneficiario.xlsx]NºMIEMBRO'!$B$22:$F$22</c:f>
              <c:strCache>
                <c:ptCount val="5"/>
                <c:pt idx="0">
                  <c:v>2019</c:v>
                </c:pt>
                <c:pt idx="1">
                  <c:v>2020</c:v>
                </c:pt>
                <c:pt idx="2">
                  <c:v>2021</c:v>
                </c:pt>
                <c:pt idx="3">
                  <c:v>2022</c:v>
                </c:pt>
                <c:pt idx="4">
                  <c:v>2023</c:v>
                </c:pt>
              </c:strCache>
            </c:strRef>
          </c:cat>
          <c:val>
            <c:numRef>
              <c:f>'[SIN DRJ. Evolución Titular y Beneficiario.xlsx]NºMIEMBRO'!$B$24:$F$24</c:f>
              <c:numCache>
                <c:formatCode>0.0%</c:formatCode>
                <c:ptCount val="5"/>
                <c:pt idx="0">
                  <c:v>0.20021590043180088</c:v>
                </c:pt>
                <c:pt idx="1">
                  <c:v>0.1966258405379443</c:v>
                </c:pt>
                <c:pt idx="2">
                  <c:v>0.1940306592275608</c:v>
                </c:pt>
                <c:pt idx="3">
                  <c:v>0.18704078680937228</c:v>
                </c:pt>
                <c:pt idx="4">
                  <c:v>0.18581059794593913</c:v>
                </c:pt>
              </c:numCache>
            </c:numRef>
          </c:val>
          <c:extLst>
            <c:ext xmlns:c16="http://schemas.microsoft.com/office/drawing/2014/chart" uri="{C3380CC4-5D6E-409C-BE32-E72D297353CC}">
              <c16:uniqueId val="{00000001-F8C7-441B-B2A2-6BC5804E6995}"/>
            </c:ext>
          </c:extLst>
        </c:ser>
        <c:ser>
          <c:idx val="2"/>
          <c:order val="2"/>
          <c:tx>
            <c:strRef>
              <c:f>'[SIN DRJ. Evolución Titular y Beneficiario.xlsx]NºMIEMBRO'!$A$25</c:f>
              <c:strCache>
                <c:ptCount val="1"/>
                <c:pt idx="0">
                  <c:v>3 miembros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'[SIN DRJ. Evolución Titular y Beneficiario.xlsx]NºMIEMBRO'!$B$22:$F$22</c:f>
              <c:strCache>
                <c:ptCount val="5"/>
                <c:pt idx="0">
                  <c:v>2019</c:v>
                </c:pt>
                <c:pt idx="1">
                  <c:v>2020</c:v>
                </c:pt>
                <c:pt idx="2">
                  <c:v>2021</c:v>
                </c:pt>
                <c:pt idx="3">
                  <c:v>2022</c:v>
                </c:pt>
                <c:pt idx="4">
                  <c:v>2023</c:v>
                </c:pt>
              </c:strCache>
            </c:strRef>
          </c:cat>
          <c:val>
            <c:numRef>
              <c:f>'[SIN DRJ. Evolución Titular y Beneficiario.xlsx]NºMIEMBRO'!$B$25:$F$25</c:f>
              <c:numCache>
                <c:formatCode>0.0%</c:formatCode>
                <c:ptCount val="5"/>
                <c:pt idx="0">
                  <c:v>0.15328930657861314</c:v>
                </c:pt>
                <c:pt idx="1">
                  <c:v>0.15333813640730068</c:v>
                </c:pt>
                <c:pt idx="2">
                  <c:v>0.14657927522886083</c:v>
                </c:pt>
                <c:pt idx="3">
                  <c:v>0.14156783338154469</c:v>
                </c:pt>
                <c:pt idx="4">
                  <c:v>0.14435133261924266</c:v>
                </c:pt>
              </c:numCache>
            </c:numRef>
          </c:val>
          <c:extLst>
            <c:ext xmlns:c16="http://schemas.microsoft.com/office/drawing/2014/chart" uri="{C3380CC4-5D6E-409C-BE32-E72D297353CC}">
              <c16:uniqueId val="{00000002-F8C7-441B-B2A2-6BC5804E6995}"/>
            </c:ext>
          </c:extLst>
        </c:ser>
        <c:ser>
          <c:idx val="3"/>
          <c:order val="3"/>
          <c:tx>
            <c:strRef>
              <c:f>'[SIN DRJ. Evolución Titular y Beneficiario.xlsx]NºMIEMBRO'!$A$26</c:f>
              <c:strCache>
                <c:ptCount val="1"/>
                <c:pt idx="0">
                  <c:v>4 miembros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'[SIN DRJ. Evolución Titular y Beneficiario.xlsx]NºMIEMBRO'!$B$22:$F$22</c:f>
              <c:strCache>
                <c:ptCount val="5"/>
                <c:pt idx="0">
                  <c:v>2019</c:v>
                </c:pt>
                <c:pt idx="1">
                  <c:v>2020</c:v>
                </c:pt>
                <c:pt idx="2">
                  <c:v>2021</c:v>
                </c:pt>
                <c:pt idx="3">
                  <c:v>2022</c:v>
                </c:pt>
                <c:pt idx="4">
                  <c:v>2023</c:v>
                </c:pt>
              </c:strCache>
            </c:strRef>
          </c:cat>
          <c:val>
            <c:numRef>
              <c:f>'[SIN DRJ. Evolución Titular y Beneficiario.xlsx]NºMIEMBRO'!$B$26:$F$26</c:f>
              <c:numCache>
                <c:formatCode>0.0%</c:formatCode>
                <c:ptCount val="5"/>
                <c:pt idx="0">
                  <c:v>0.10668021336042673</c:v>
                </c:pt>
                <c:pt idx="1">
                  <c:v>0.10434678194044188</c:v>
                </c:pt>
                <c:pt idx="2">
                  <c:v>9.7990358052109858E-2</c:v>
                </c:pt>
                <c:pt idx="3">
                  <c:v>9.63262944749783E-2</c:v>
                </c:pt>
                <c:pt idx="4">
                  <c:v>9.0479490895343712E-2</c:v>
                </c:pt>
              </c:numCache>
            </c:numRef>
          </c:val>
          <c:extLst>
            <c:ext xmlns:c16="http://schemas.microsoft.com/office/drawing/2014/chart" uri="{C3380CC4-5D6E-409C-BE32-E72D297353CC}">
              <c16:uniqueId val="{00000003-F8C7-441B-B2A2-6BC5804E6995}"/>
            </c:ext>
          </c:extLst>
        </c:ser>
        <c:ser>
          <c:idx val="4"/>
          <c:order val="4"/>
          <c:tx>
            <c:strRef>
              <c:f>'[SIN DRJ. Evolución Titular y Beneficiario.xlsx]NºMIEMBRO'!$A$27</c:f>
              <c:strCache>
                <c:ptCount val="1"/>
                <c:pt idx="0">
                  <c:v>≥5 miembros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'[SIN DRJ. Evolución Titular y Beneficiario.xlsx]NºMIEMBRO'!$B$22:$F$22</c:f>
              <c:strCache>
                <c:ptCount val="5"/>
                <c:pt idx="0">
                  <c:v>2019</c:v>
                </c:pt>
                <c:pt idx="1">
                  <c:v>2020</c:v>
                </c:pt>
                <c:pt idx="2">
                  <c:v>2021</c:v>
                </c:pt>
                <c:pt idx="3">
                  <c:v>2022</c:v>
                </c:pt>
                <c:pt idx="4">
                  <c:v>2023</c:v>
                </c:pt>
              </c:strCache>
            </c:strRef>
          </c:cat>
          <c:val>
            <c:numRef>
              <c:f>'[SIN DRJ. Evolución Titular y Beneficiario.xlsx]NºMIEMBRO'!$B$27:$F$27</c:f>
              <c:numCache>
                <c:formatCode>0.0%</c:formatCode>
                <c:ptCount val="5"/>
                <c:pt idx="0">
                  <c:v>0.10915671831343664</c:v>
                </c:pt>
                <c:pt idx="1">
                  <c:v>0.10728866474543707</c:v>
                </c:pt>
                <c:pt idx="2">
                  <c:v>0.10394886517523427</c:v>
                </c:pt>
                <c:pt idx="3">
                  <c:v>0.10176453572461673</c:v>
                </c:pt>
                <c:pt idx="4">
                  <c:v>0.10081280322600999</c:v>
                </c:pt>
              </c:numCache>
            </c:numRef>
          </c:val>
          <c:extLst>
            <c:ext xmlns:c16="http://schemas.microsoft.com/office/drawing/2014/chart" uri="{C3380CC4-5D6E-409C-BE32-E72D297353CC}">
              <c16:uniqueId val="{00000004-F8C7-441B-B2A2-6BC5804E6995}"/>
            </c:ext>
          </c:extLst>
        </c:ser>
        <c:dLbls>
          <c:dLblPos val="ctr"/>
          <c:showLegendKey val="0"/>
          <c:showVal val="1"/>
          <c:showCatName val="0"/>
          <c:showSerName val="0"/>
          <c:showPercent val="0"/>
          <c:showBubbleSize val="0"/>
        </c:dLbls>
        <c:gapWidth val="150"/>
        <c:overlap val="100"/>
        <c:axId val="562117599"/>
        <c:axId val="562117927"/>
      </c:barChart>
      <c:catAx>
        <c:axId val="562117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s-ES"/>
          </a:p>
        </c:txPr>
        <c:crossAx val="562117927"/>
        <c:crosses val="autoZero"/>
        <c:auto val="1"/>
        <c:lblAlgn val="ctr"/>
        <c:lblOffset val="100"/>
        <c:noMultiLvlLbl val="0"/>
      </c:catAx>
      <c:valAx>
        <c:axId val="5621179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62117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0E50709D-3A71-42D6-930F-C7776F182488}">
    <t:Anchor>
      <t:Comment id="653534928"/>
    </t:Anchor>
    <t:History>
      <t:Event id="{F7C91EF6-D803-4A5C-953D-176371287734}" time="2024-11-15T06:59:14.718Z">
        <t:Attribution userId="S::msolanun@comptos.org::3eee60da-80b1-4ce4-84f9-06dfc89b81e3" userProvider="AD" userName="Sola Núñez, Miryam (Cámara de Comptos)"/>
        <t:Anchor>
          <t:Comment id="634467784"/>
        </t:Anchor>
        <t:Create/>
      </t:Event>
      <t:Event id="{2321C966-5236-4F0A-9BA6-B6C567BE4A76}" time="2024-11-15T06:59:14.718Z">
        <t:Attribution userId="S::msolanun@comptos.org::3eee60da-80b1-4ce4-84f9-06dfc89b81e3" userProvider="AD" userName="Sola Núñez, Miryam (Cámara de Comptos)"/>
        <t:Anchor>
          <t:Comment id="634467784"/>
        </t:Anchor>
        <t:Assign userId="S::jmartino@comptos.org::b95dd1a4-04d7-4104-9124-3803850c3587" userProvider="AD" userName="Martínez de Estíbariz Ochagavia, Javier (Cámara de Comptos)"/>
      </t:Event>
      <t:Event id="{17711545-8C65-4AD9-BB47-D72CD38443CF}" time="2024-11-15T06:59:14.718Z">
        <t:Attribution userId="S::msolanun@comptos.org::3eee60da-80b1-4ce4-84f9-06dfc89b81e3" userProvider="AD" userName="Sola Núñez, Miryam (Cámara de Comptos)"/>
        <t:Anchor>
          <t:Comment id="634467784"/>
        </t:Anchor>
        <t:SetTitle title="Este párrafo no está relacionado con el empleo, pero tal vez podríamos hacer esto mismo que hicimos en el C.4 prueba 2&quot;, para la situación 1, no @Martínez de Estíbariz Ochagavia, Javier (Cámara de Comptos)"/>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A9AAEA0B8776E4782DC4A9FF61CBE75" ma:contentTypeVersion="7" ma:contentTypeDescription="Crear nuevo documento." ma:contentTypeScope="" ma:versionID="f1f86c64efbbed3c5d41b1b6218314a5">
  <xsd:schema xmlns:xsd="http://www.w3.org/2001/XMLSchema" xmlns:xs="http://www.w3.org/2001/XMLSchema" xmlns:p="http://schemas.microsoft.com/office/2006/metadata/properties" xmlns:ns2="a4be77a6-8358-4ebf-83e0-79ec36758bb5" xmlns:ns3="62ef06c8-8995-4227-80f5-35e373c2d721" targetNamespace="http://schemas.microsoft.com/office/2006/metadata/properties" ma:root="true" ma:fieldsID="219843c4fb2a9ec677107f9cded5ffc1" ns2:_="" ns3:_="">
    <xsd:import namespace="a4be77a6-8358-4ebf-83e0-79ec36758bb5"/>
    <xsd:import namespace="62ef06c8-8995-4227-80f5-35e373c2d7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e77a6-8358-4ebf-83e0-79ec36758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f06c8-8995-4227-80f5-35e373c2d721"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89BC9-75E1-4541-A4D2-4B77B66D9714}">
  <ds:schemaRefs>
    <ds:schemaRef ds:uri="http://purl.org/dc/dcmitype/"/>
    <ds:schemaRef ds:uri="http://schemas.microsoft.com/office/2006/documentManagement/types"/>
    <ds:schemaRef ds:uri="62ef06c8-8995-4227-80f5-35e373c2d721"/>
    <ds:schemaRef ds:uri="http://purl.org/dc/elements/1.1/"/>
    <ds:schemaRef ds:uri="http://schemas.microsoft.com/office/infopath/2007/PartnerControls"/>
    <ds:schemaRef ds:uri="http://purl.org/dc/terms/"/>
    <ds:schemaRef ds:uri="a4be77a6-8358-4ebf-83e0-79ec36758bb5"/>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40AD05A-7F87-48F5-8599-E43E6923C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e77a6-8358-4ebf-83e0-79ec36758bb5"/>
    <ds:schemaRef ds:uri="62ef06c8-8995-4227-80f5-35e373c2d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D2DC94-1555-46A7-B9D5-7C21AEB3C255}">
  <ds:schemaRefs>
    <ds:schemaRef ds:uri="http://schemas.microsoft.com/sharepoint/v3/contenttype/forms"/>
  </ds:schemaRefs>
</ds:datastoreItem>
</file>

<file path=customXml/itemProps4.xml><?xml version="1.0" encoding="utf-8"?>
<ds:datastoreItem xmlns:ds="http://schemas.openxmlformats.org/officeDocument/2006/customXml" ds:itemID="{AFD067F5-12F2-40AA-A561-7831B8D4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56</Pages>
  <Words>18036</Words>
  <Characters>99203</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Orduña, Karen (Cámara de Comptos)</dc:creator>
  <cp:keywords/>
  <dc:description/>
  <cp:lastModifiedBy>Mauleón, Fernando</cp:lastModifiedBy>
  <cp:revision>27</cp:revision>
  <cp:lastPrinted>2024-11-28T12:25:00Z</cp:lastPrinted>
  <dcterms:created xsi:type="dcterms:W3CDTF">2025-01-14T07:47:00Z</dcterms:created>
  <dcterms:modified xsi:type="dcterms:W3CDTF">2025-01-16T13:02:00Z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0x010100CA9AAEA0B8776E4782DC4A9FF61CBE75</vt:lpwstr>
  </property>
</Properties>
</file>