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D5FEF" w14:textId="2A87012F" w:rsidR="004B1E07" w:rsidRDefault="004B1E07" w:rsidP="00850F72">
      <w:pPr>
        <w:pStyle w:val="Style"/>
        <w:spacing w:after="120" w:line="254" w:lineRule="exact"/>
        <w:ind w:left="142" w:right="141"/>
        <w:jc w:val="both"/>
        <w:textAlignment w:val="baseline"/>
        <w:rPr>
          <w:rFonts w:ascii="Calibri" w:eastAsia="Arial" w:hAnsi="Calibri" w:cs="Calibri"/>
          <w:sz w:val="22"/>
          <w:szCs w:val="22"/>
        </w:rPr>
      </w:pPr>
      <w:r>
        <w:rPr>
          <w:rFonts w:ascii="Calibri" w:hAnsi="Calibri"/>
          <w:sz w:val="22"/>
        </w:rPr>
        <w:t>25PRO-3</w:t>
      </w:r>
    </w:p>
    <w:p w14:paraId="1435C84A" w14:textId="7DFEFEF3" w:rsidR="00D97EA4" w:rsidRDefault="00680DF4" w:rsidP="00850F72">
      <w:pPr>
        <w:pStyle w:val="Style"/>
        <w:spacing w:after="120" w:line="254" w:lineRule="exact"/>
        <w:ind w:left="142" w:right="141"/>
        <w:jc w:val="both"/>
        <w:textAlignment w:val="baseline"/>
        <w:rPr>
          <w:rFonts w:ascii="Calibri" w:hAnsi="Calibri" w:cs="Calibri"/>
          <w:sz w:val="22"/>
          <w:szCs w:val="22"/>
        </w:rPr>
      </w:pPr>
      <w:r w:rsidRPr="00680DF4">
        <w:rPr>
          <w:rFonts w:ascii="Calibri" w:hAnsi="Calibri"/>
          <w:b/>
          <w:sz w:val="22"/>
        </w:rPr>
        <w:t>Foru-lege proposamena, Dirulaguntzei buruzko azaroaren 9ko 11/2005 Foru Legea aldatzen duena</w:t>
      </w:r>
    </w:p>
    <w:p w14:paraId="1B681D59" w14:textId="368E6DF8" w:rsidR="00795281" w:rsidRPr="00D97EA4" w:rsidRDefault="00FA7E98" w:rsidP="00850F72">
      <w:pPr>
        <w:pStyle w:val="Style"/>
        <w:spacing w:after="120" w:line="254" w:lineRule="exact"/>
        <w:ind w:left="142" w:right="141"/>
        <w:jc w:val="both"/>
        <w:textAlignment w:val="baseline"/>
        <w:rPr>
          <w:rFonts w:ascii="Calibri" w:hAnsi="Calibri" w:cs="Calibri"/>
          <w:sz w:val="22"/>
          <w:szCs w:val="22"/>
        </w:rPr>
      </w:pPr>
      <w:r>
        <w:rPr>
          <w:rFonts w:ascii="Calibri" w:hAnsi="Calibri"/>
          <w:sz w:val="22"/>
        </w:rPr>
        <w:t xml:space="preserve">Terrorismoak, Espainian eta Nafarroan ETA banda terroristaren erruz modu berezian pairatu dugun horrek, ondorio lazgarriak ekartzen dizkie bera jasaten duten gizarteei. Ondorio horiek, zuzeneko biktimek jasaten dituzten erdiragarrienez gain –pertsona erailak, zaurituak, bahituak edo </w:t>
      </w:r>
      <w:proofErr w:type="spellStart"/>
      <w:r>
        <w:rPr>
          <w:rFonts w:ascii="Calibri" w:hAnsi="Calibri"/>
          <w:sz w:val="22"/>
        </w:rPr>
        <w:t>estortsionatuak</w:t>
      </w:r>
      <w:proofErr w:type="spellEnd"/>
      <w:r>
        <w:rPr>
          <w:rFonts w:ascii="Calibri" w:hAnsi="Calibri"/>
          <w:sz w:val="22"/>
        </w:rPr>
        <w:t xml:space="preserve">–, elkarbizitza astintzen dute, arras </w:t>
      </w:r>
      <w:proofErr w:type="spellStart"/>
      <w:r>
        <w:rPr>
          <w:rFonts w:ascii="Calibri" w:hAnsi="Calibri"/>
          <w:sz w:val="22"/>
        </w:rPr>
        <w:t>gaindigaitzak</w:t>
      </w:r>
      <w:proofErr w:type="spellEnd"/>
      <w:r>
        <w:rPr>
          <w:rFonts w:ascii="Calibri" w:hAnsi="Calibri"/>
          <w:sz w:val="22"/>
        </w:rPr>
        <w:t xml:space="preserve"> diren arrastoak utzita. </w:t>
      </w:r>
    </w:p>
    <w:p w14:paraId="043AAE4F" w14:textId="77777777" w:rsidR="00795281" w:rsidRPr="00D97EA4" w:rsidRDefault="00FA7E98" w:rsidP="00850F72">
      <w:pPr>
        <w:pStyle w:val="Style"/>
        <w:spacing w:after="120" w:line="254" w:lineRule="exact"/>
        <w:ind w:left="142" w:right="141"/>
        <w:jc w:val="both"/>
        <w:textAlignment w:val="baseline"/>
        <w:rPr>
          <w:rFonts w:ascii="Calibri" w:hAnsi="Calibri" w:cs="Calibri"/>
          <w:sz w:val="22"/>
          <w:szCs w:val="22"/>
        </w:rPr>
      </w:pPr>
      <w:r>
        <w:rPr>
          <w:rFonts w:ascii="Calibri" w:hAnsi="Calibri"/>
          <w:sz w:val="22"/>
        </w:rPr>
        <w:t xml:space="preserve">Horregatik, ETAk dozenaka urtez egindako terrorismoa eta indarkeria </w:t>
      </w:r>
      <w:proofErr w:type="spellStart"/>
      <w:r>
        <w:rPr>
          <w:rFonts w:ascii="Calibri" w:hAnsi="Calibri"/>
          <w:sz w:val="22"/>
        </w:rPr>
        <w:t>zilegigabetzea</w:t>
      </w:r>
      <w:proofErr w:type="spellEnd"/>
      <w:r>
        <w:rPr>
          <w:rFonts w:ascii="Calibri" w:hAnsi="Calibri"/>
          <w:sz w:val="22"/>
        </w:rPr>
        <w:t xml:space="preserve"> ezinbesteko urratsa da, baldin nafar gizartean bakezko elkarbizitza, memoria eta giza eskubideak bultzatuko badira eta biktimak aitortuak eta ohoratuak izanen badira. </w:t>
      </w:r>
    </w:p>
    <w:p w14:paraId="5A3DD168" w14:textId="77777777" w:rsidR="00795281" w:rsidRPr="00D97EA4" w:rsidRDefault="00FA7E98" w:rsidP="00850F72">
      <w:pPr>
        <w:pStyle w:val="Style"/>
        <w:spacing w:after="120" w:line="254" w:lineRule="exact"/>
        <w:ind w:left="142" w:right="141"/>
        <w:jc w:val="both"/>
        <w:textAlignment w:val="baseline"/>
        <w:rPr>
          <w:rFonts w:ascii="Calibri" w:hAnsi="Calibri" w:cs="Calibri"/>
          <w:sz w:val="22"/>
          <w:szCs w:val="22"/>
        </w:rPr>
      </w:pPr>
      <w:r>
        <w:rPr>
          <w:rFonts w:ascii="Calibri" w:hAnsi="Calibri"/>
          <w:sz w:val="22"/>
        </w:rPr>
        <w:t xml:space="preserve">Terrorismoaren </w:t>
      </w:r>
      <w:proofErr w:type="spellStart"/>
      <w:r>
        <w:rPr>
          <w:rFonts w:ascii="Calibri" w:hAnsi="Calibri"/>
          <w:sz w:val="22"/>
        </w:rPr>
        <w:t>zilegigabetzeak</w:t>
      </w:r>
      <w:proofErr w:type="spellEnd"/>
      <w:r>
        <w:rPr>
          <w:rFonts w:ascii="Calibri" w:hAnsi="Calibri"/>
          <w:sz w:val="22"/>
        </w:rPr>
        <w:t xml:space="preserve"> garrantzi berezia hartzen du egungo eta etorkizuneko belaunaldiei dagokienez. Haurrek eta gazteek jabetuta egon behar dute terrorismoak gizarteei ekartzen dien sufrimenduaz, eta eskolak betebehartzat du bake, demokrazia, giza eskubideekiko begirune eta indarkeria-errefusaren balioak sustatzea. </w:t>
      </w:r>
    </w:p>
    <w:p w14:paraId="10977247" w14:textId="77777777" w:rsidR="00795281" w:rsidRPr="00D97EA4" w:rsidRDefault="00FA7E98" w:rsidP="00850F72">
      <w:pPr>
        <w:pStyle w:val="Style"/>
        <w:spacing w:after="120" w:line="254" w:lineRule="exact"/>
        <w:ind w:left="142" w:right="141"/>
        <w:jc w:val="both"/>
        <w:textAlignment w:val="baseline"/>
        <w:rPr>
          <w:rFonts w:ascii="Calibri" w:hAnsi="Calibri" w:cs="Calibri"/>
          <w:sz w:val="22"/>
          <w:szCs w:val="22"/>
        </w:rPr>
      </w:pPr>
      <w:r>
        <w:rPr>
          <w:rFonts w:ascii="Calibri" w:hAnsi="Calibri"/>
          <w:sz w:val="22"/>
        </w:rPr>
        <w:t xml:space="preserve">Betebehar hori gizarte osoari zuzendua da, eta oso bereziki, hezitzaileei eta adingabeekin diharduten pertsona guztiei, zeinek balio demokratiko hauen eta gai honetan jarraitu beharreko ereduen ezagutarazle izan behar baitute. </w:t>
      </w:r>
    </w:p>
    <w:p w14:paraId="13EF242D" w14:textId="28776127" w:rsidR="00795281" w:rsidRPr="00D97EA4" w:rsidRDefault="00FA7E98" w:rsidP="00850F72">
      <w:pPr>
        <w:pStyle w:val="Style"/>
        <w:spacing w:after="120" w:line="254" w:lineRule="exact"/>
        <w:ind w:left="142" w:right="141"/>
        <w:jc w:val="both"/>
        <w:textAlignment w:val="baseline"/>
        <w:rPr>
          <w:rFonts w:ascii="Calibri" w:hAnsi="Calibri" w:cs="Calibri"/>
          <w:sz w:val="22"/>
          <w:szCs w:val="22"/>
        </w:rPr>
      </w:pPr>
      <w:r>
        <w:rPr>
          <w:rFonts w:ascii="Calibri" w:hAnsi="Calibri"/>
          <w:sz w:val="22"/>
        </w:rPr>
        <w:t>Administrazio publikoak behartuta daude eskueran dauzkaten baliabide guztiak erabiliz betetzera betebehar hori. Baliabide horietako bat dirulaguntza-ematea da, modua ematen baitie interes orokorra erdiestera bideraturiko proiektu eta jarduerak</w:t>
      </w:r>
      <w:r w:rsidR="00140276">
        <w:rPr>
          <w:rFonts w:ascii="Calibri" w:hAnsi="Calibri"/>
          <w:sz w:val="22"/>
        </w:rPr>
        <w:t xml:space="preserve"> </w:t>
      </w:r>
      <w:r>
        <w:rPr>
          <w:rFonts w:ascii="Calibri" w:hAnsi="Calibri"/>
          <w:sz w:val="22"/>
        </w:rPr>
        <w:t>sustatzeko</w:t>
      </w:r>
      <w:r w:rsidR="00140276">
        <w:rPr>
          <w:rFonts w:ascii="Calibri" w:hAnsi="Calibri"/>
          <w:sz w:val="22"/>
        </w:rPr>
        <w:t>.</w:t>
      </w:r>
    </w:p>
    <w:p w14:paraId="584B7D21" w14:textId="77777777" w:rsidR="00795281" w:rsidRPr="00D97EA4" w:rsidRDefault="00FA7E98" w:rsidP="00850F72">
      <w:pPr>
        <w:pStyle w:val="Style"/>
        <w:spacing w:after="120" w:line="254" w:lineRule="exact"/>
        <w:ind w:left="142" w:right="141"/>
        <w:jc w:val="both"/>
        <w:textAlignment w:val="baseline"/>
        <w:rPr>
          <w:rFonts w:ascii="Calibri" w:hAnsi="Calibri" w:cs="Calibri"/>
          <w:sz w:val="22"/>
          <w:szCs w:val="22"/>
        </w:rPr>
      </w:pPr>
      <w:r>
        <w:rPr>
          <w:rFonts w:ascii="Calibri" w:hAnsi="Calibri"/>
          <w:sz w:val="22"/>
        </w:rPr>
        <w:t xml:space="preserve">Baldin eta bai hezitzaileak bai esparru publikoan adingabeekin lan egiten duten pertsonak aginpide etiko eta moral nahitaezkoaz jantzirik egon behar badira, ez da ez logikoa, ez eta balio demokratikoen araberakoa ere, funts publikoekin laguntza ematea eginkizun horiek nork eta terrorismoarekin zerikusia duten delituengatik zigortuak diren pertsonek eginak izateari. </w:t>
      </w:r>
    </w:p>
    <w:p w14:paraId="3902DF42" w14:textId="1EA39BBA" w:rsidR="00D97EA4" w:rsidRDefault="00FA7E98" w:rsidP="00850F72">
      <w:pPr>
        <w:pStyle w:val="Style"/>
        <w:spacing w:after="120" w:line="254" w:lineRule="exact"/>
        <w:ind w:left="142" w:right="141"/>
        <w:jc w:val="both"/>
        <w:textAlignment w:val="baseline"/>
        <w:rPr>
          <w:rFonts w:ascii="Calibri" w:eastAsia="Arial" w:hAnsi="Calibri" w:cs="Calibri"/>
          <w:sz w:val="22"/>
          <w:szCs w:val="22"/>
        </w:rPr>
      </w:pPr>
      <w:r>
        <w:rPr>
          <w:rFonts w:ascii="Calibri" w:hAnsi="Calibri"/>
          <w:sz w:val="22"/>
        </w:rPr>
        <w:t>Nafarroak, bere foru araubidearen indarrez, eskumen esklusiboa du Nafarroaren zuzenbide substantiboaren espezialitateen edo antolaketa berekiaren ondoriozko prozedura administratibokoak nahiz, kasua bada, ekonomiko-administratibokoak diren arauen gainean, bai eta Foru Diputazioaren, haren administrazioaren eta horren menpeko erakunde publikoen araubide juridikoaren gainean ere, Nafarroako Foru Eraentza Berrezarri eta Hobetzeari buruzko Lege Organikoaren 49.1 artikuluaren c) eta e) letrekin bat.</w:t>
      </w:r>
    </w:p>
    <w:p w14:paraId="42885933" w14:textId="0314335B" w:rsidR="00795281" w:rsidRPr="00D97EA4" w:rsidRDefault="00FA7E98" w:rsidP="00850F72">
      <w:pPr>
        <w:pStyle w:val="Style"/>
        <w:spacing w:after="120" w:line="254" w:lineRule="exact"/>
        <w:ind w:left="142" w:right="141"/>
        <w:jc w:val="both"/>
        <w:textAlignment w:val="baseline"/>
        <w:rPr>
          <w:rFonts w:ascii="Calibri" w:hAnsi="Calibri" w:cs="Calibri"/>
          <w:sz w:val="22"/>
          <w:szCs w:val="22"/>
        </w:rPr>
      </w:pPr>
      <w:r>
        <w:rPr>
          <w:rFonts w:ascii="Calibri" w:hAnsi="Calibri"/>
          <w:b/>
          <w:sz w:val="22"/>
        </w:rPr>
        <w:t xml:space="preserve">Lehen artikulua. </w:t>
      </w:r>
      <w:r>
        <w:rPr>
          <w:rFonts w:ascii="Calibri" w:hAnsi="Calibri"/>
          <w:sz w:val="22"/>
        </w:rPr>
        <w:t xml:space="preserve">Dirulaguntzei buruzko azaroaren 9ko 11/2005 Foru Legearen 13. artikuluari, onuradun edo entitate laguntzaile izateko betekizunei buruzkoari, 3. bis apartatua gehitzen zaio. </w:t>
      </w:r>
    </w:p>
    <w:p w14:paraId="03D2DE29" w14:textId="25AAC0D4" w:rsidR="00795281" w:rsidRPr="00D97EA4" w:rsidRDefault="00D97EA4" w:rsidP="00850F72">
      <w:pPr>
        <w:pStyle w:val="Style"/>
        <w:spacing w:after="120" w:line="254" w:lineRule="exact"/>
        <w:ind w:left="142" w:right="141"/>
        <w:jc w:val="both"/>
        <w:textAlignment w:val="baseline"/>
        <w:rPr>
          <w:rFonts w:ascii="Calibri" w:hAnsi="Calibri" w:cs="Calibri"/>
          <w:sz w:val="22"/>
          <w:szCs w:val="22"/>
        </w:rPr>
      </w:pPr>
      <w:r>
        <w:rPr>
          <w:rFonts w:ascii="Calibri" w:hAnsi="Calibri"/>
          <w:sz w:val="22"/>
        </w:rPr>
        <w:t xml:space="preserve">“3. bis. Ezein kasutan ez dute foru lege honetan araututako dirulaguntzen onuradun edo entitate laguntzaile izaerarik eskuratzerik izanen pertsona fisiko haiek zeinak Zigor Kodearen azaroaren 23ko 10/1995 Lege Organikoaren II. Liburuaren XXII. Tituluaren VII. Kapituluan tipifikaturiko edozein deliturengatik epai irmoz zigortuak izan baitira, edo pertsona juridiko haiek zeinek egoera horretan dauden beste pertsona fisiko edo juridiko batzuk enplegatu gisa baitituzte nahiz haiekin jarduera azpikontratatzen baitute, baldin dirulaguntzak bideratuak badira pertsona adingabeentzako proiektu edo jarduerak egitera, barne hartzen dutenak haur edo nerabeekiko harreman errepikatu, zuzeneko eta ohikoa, ezen ez noizbehinkako hutsa, bai eta, beti, xede nagusitzat pertsona adingabeak dauzkaten guztiak ere. </w:t>
      </w:r>
    </w:p>
    <w:p w14:paraId="4BA17C32" w14:textId="77777777" w:rsidR="00795281" w:rsidRPr="00D97EA4" w:rsidRDefault="00FA7E98" w:rsidP="00850F72">
      <w:pPr>
        <w:pStyle w:val="Style"/>
        <w:spacing w:after="120" w:line="254" w:lineRule="exact"/>
        <w:ind w:left="142" w:right="141"/>
        <w:jc w:val="both"/>
        <w:textAlignment w:val="baseline"/>
        <w:rPr>
          <w:rFonts w:ascii="Calibri" w:hAnsi="Calibri" w:cs="Calibri"/>
          <w:sz w:val="22"/>
          <w:szCs w:val="22"/>
        </w:rPr>
      </w:pPr>
      <w:r>
        <w:rPr>
          <w:rFonts w:ascii="Calibri" w:hAnsi="Calibri"/>
          <w:sz w:val="22"/>
        </w:rPr>
        <w:t xml:space="preserve">Ondorio horretarako, berdin iritziko zaie Europar Batasuneko kide diren Estatuetako zigor-zuzenbideko ebazpen judizialei, eratorriak direnean terrorismo-delituetatik edo erakunde nahiz talde terrorista baten sustatze, eratze, antolatze edo zuzendaritzan aritzearen edo horrelako baten kide izatearen delituetatik. </w:t>
      </w:r>
    </w:p>
    <w:p w14:paraId="0D2677F0" w14:textId="77777777" w:rsidR="00795281" w:rsidRPr="00D97EA4" w:rsidRDefault="00FA7E98" w:rsidP="00850F72">
      <w:pPr>
        <w:pStyle w:val="Style"/>
        <w:spacing w:after="120" w:line="254" w:lineRule="exact"/>
        <w:ind w:left="142" w:right="141"/>
        <w:jc w:val="both"/>
        <w:textAlignment w:val="baseline"/>
        <w:rPr>
          <w:rFonts w:ascii="Calibri" w:hAnsi="Calibri" w:cs="Calibri"/>
          <w:sz w:val="22"/>
          <w:szCs w:val="22"/>
        </w:rPr>
      </w:pPr>
      <w:r>
        <w:rPr>
          <w:rFonts w:ascii="Calibri" w:hAnsi="Calibri"/>
          <w:sz w:val="22"/>
        </w:rPr>
        <w:t xml:space="preserve">Zertzelada hori aintzat hartzeko, beharrezkoa izanen da delitu horietakoren batengatik zigortuak izan diren pertsonak proiektu edo jarduera horien gauzatzea zuzenean egitekoak izan daitezela, edo gauzatze horretan parte hartzekoak.  </w:t>
      </w:r>
    </w:p>
    <w:p w14:paraId="1E065BBC" w14:textId="309C73BF" w:rsidR="00D97EA4" w:rsidRDefault="00FA7E98" w:rsidP="00850F72">
      <w:pPr>
        <w:pStyle w:val="Style"/>
        <w:spacing w:after="120" w:line="254" w:lineRule="exact"/>
        <w:ind w:left="142" w:right="141"/>
        <w:jc w:val="both"/>
        <w:textAlignment w:val="baseline"/>
        <w:rPr>
          <w:rFonts w:ascii="Calibri" w:eastAsia="Arial" w:hAnsi="Calibri" w:cs="Calibri"/>
          <w:sz w:val="22"/>
          <w:szCs w:val="22"/>
        </w:rPr>
      </w:pPr>
      <w:r>
        <w:rPr>
          <w:rFonts w:ascii="Calibri" w:hAnsi="Calibri"/>
          <w:sz w:val="22"/>
        </w:rPr>
        <w:t>Horretarako dirulaguntzen deialdietako oinarri arautzaileek berariaz adieraziko dute onuradun edo entitate laguntzaile izatearen debeku hori".</w:t>
      </w:r>
    </w:p>
    <w:p w14:paraId="03D077A1" w14:textId="44D7989B" w:rsidR="00795281" w:rsidRPr="00D97EA4" w:rsidRDefault="00FA7E98" w:rsidP="00850F72">
      <w:pPr>
        <w:pStyle w:val="Style"/>
        <w:spacing w:after="120" w:line="254" w:lineRule="exact"/>
        <w:ind w:left="142" w:right="141"/>
        <w:jc w:val="both"/>
        <w:textAlignment w:val="baseline"/>
        <w:rPr>
          <w:rFonts w:ascii="Calibri" w:hAnsi="Calibri" w:cs="Calibri"/>
          <w:sz w:val="22"/>
          <w:szCs w:val="22"/>
        </w:rPr>
      </w:pPr>
      <w:r>
        <w:rPr>
          <w:rFonts w:ascii="Calibri" w:hAnsi="Calibri"/>
          <w:b/>
          <w:sz w:val="22"/>
        </w:rPr>
        <w:t xml:space="preserve">Bigarren artikulua. </w:t>
      </w:r>
      <w:r>
        <w:rPr>
          <w:rFonts w:ascii="Calibri" w:hAnsi="Calibri"/>
          <w:sz w:val="22"/>
        </w:rPr>
        <w:t xml:space="preserve">Dirulaguntzei buruzko azaroaren 9ko 11/2005 Foru Legearen 13. artikuluari, onuradun edo entitate laguntzaile izateko betekizunei buruzkoari, 6. bis apartatua gehitzen zaio. </w:t>
      </w:r>
    </w:p>
    <w:p w14:paraId="5FD14D28" w14:textId="77777777" w:rsidR="00D97EA4" w:rsidRDefault="00D97EA4" w:rsidP="00850F72">
      <w:pPr>
        <w:pStyle w:val="Style"/>
        <w:spacing w:after="120" w:line="254" w:lineRule="exact"/>
        <w:ind w:left="142" w:right="141"/>
        <w:jc w:val="both"/>
        <w:textAlignment w:val="baseline"/>
        <w:rPr>
          <w:rFonts w:ascii="Calibri" w:eastAsia="Arial" w:hAnsi="Calibri" w:cs="Calibri"/>
          <w:sz w:val="22"/>
          <w:szCs w:val="22"/>
        </w:rPr>
      </w:pPr>
      <w:r>
        <w:rPr>
          <w:rFonts w:ascii="Calibri" w:hAnsi="Calibri"/>
          <w:sz w:val="22"/>
        </w:rPr>
        <w:t>“6. bis. Goragoko 3. bis apartatuan adierazitako debekuari buruzko deliberoa automatikoa izanen da. Pertsonek nahiz entitateek halako debekurik ez daukatela justifikatu beharko dute Zigortuen Erregistro Zentralak jaulkitakoa den zigor-aurrekariei buruzko ziurtagiri bat aurkeztuz, diruz lagunduak izatekoak diren proiektu eta jarduerak zuzenean egitera edo haietan parte hartzera doazen pertsona guztiei buruzkoa".</w:t>
      </w:r>
    </w:p>
    <w:p w14:paraId="1057FA78" w14:textId="6817457A" w:rsidR="00795281" w:rsidRPr="00D97EA4" w:rsidRDefault="00FA7E98" w:rsidP="00850F72">
      <w:pPr>
        <w:pStyle w:val="Style"/>
        <w:spacing w:after="120" w:line="254" w:lineRule="exact"/>
        <w:ind w:left="142" w:right="141"/>
        <w:jc w:val="both"/>
        <w:textAlignment w:val="baseline"/>
        <w:rPr>
          <w:rFonts w:ascii="Calibri" w:eastAsia="Arial" w:hAnsi="Calibri" w:cs="Calibri"/>
          <w:sz w:val="22"/>
          <w:szCs w:val="22"/>
        </w:rPr>
      </w:pPr>
      <w:r>
        <w:rPr>
          <w:rFonts w:ascii="Calibri" w:hAnsi="Calibri"/>
          <w:b/>
          <w:sz w:val="22"/>
        </w:rPr>
        <w:t xml:space="preserve">Xedapen indargabetzaile bakarra. </w:t>
      </w:r>
      <w:r>
        <w:rPr>
          <w:rFonts w:ascii="Calibri" w:hAnsi="Calibri"/>
          <w:sz w:val="22"/>
        </w:rPr>
        <w:t xml:space="preserve">Arau-indargabetzea. </w:t>
      </w:r>
    </w:p>
    <w:p w14:paraId="3476F9C3" w14:textId="21C42BB6" w:rsidR="00D97EA4" w:rsidRDefault="00FA7E98" w:rsidP="00850F72">
      <w:pPr>
        <w:pStyle w:val="Style"/>
        <w:spacing w:after="120" w:line="254" w:lineRule="exact"/>
        <w:ind w:left="142" w:right="141"/>
        <w:jc w:val="both"/>
        <w:textAlignment w:val="baseline"/>
        <w:rPr>
          <w:rFonts w:ascii="Calibri" w:hAnsi="Calibri" w:cs="Calibri"/>
          <w:sz w:val="22"/>
          <w:szCs w:val="22"/>
        </w:rPr>
      </w:pPr>
      <w:r>
        <w:rPr>
          <w:rFonts w:ascii="Calibri" w:hAnsi="Calibri"/>
          <w:sz w:val="22"/>
        </w:rPr>
        <w:t xml:space="preserve">Indargabetu egiten dira foru lege honetan xedatutakoarekin kontraesanean dauden maila bereko edo apalagoko xedapen guztiak. </w:t>
      </w:r>
    </w:p>
    <w:p w14:paraId="49AA5DAF" w14:textId="75E3851F" w:rsidR="00795281" w:rsidRPr="00D97EA4" w:rsidRDefault="00FA7E98" w:rsidP="00850F72">
      <w:pPr>
        <w:pStyle w:val="Style"/>
        <w:spacing w:after="120" w:line="254" w:lineRule="exact"/>
        <w:ind w:left="142" w:right="141"/>
        <w:jc w:val="both"/>
        <w:textAlignment w:val="baseline"/>
        <w:rPr>
          <w:rFonts w:ascii="Calibri" w:hAnsi="Calibri" w:cs="Calibri"/>
          <w:sz w:val="22"/>
          <w:szCs w:val="22"/>
        </w:rPr>
      </w:pPr>
      <w:r>
        <w:rPr>
          <w:rFonts w:ascii="Calibri" w:hAnsi="Calibri"/>
          <w:b/>
          <w:sz w:val="22"/>
        </w:rPr>
        <w:t xml:space="preserve">Azken xedapen bakarra. </w:t>
      </w:r>
      <w:r>
        <w:rPr>
          <w:rFonts w:ascii="Calibri" w:hAnsi="Calibri"/>
          <w:sz w:val="22"/>
        </w:rPr>
        <w:t xml:space="preserve">Indarra hartzea. </w:t>
      </w:r>
    </w:p>
    <w:p w14:paraId="27D8DB84" w14:textId="0093DC6E" w:rsidR="00795281" w:rsidRPr="00D97EA4" w:rsidRDefault="00FA7E98" w:rsidP="00850F72">
      <w:pPr>
        <w:pStyle w:val="Style"/>
        <w:spacing w:after="120" w:line="254" w:lineRule="exact"/>
        <w:ind w:left="142" w:right="141"/>
        <w:jc w:val="both"/>
        <w:textAlignment w:val="baseline"/>
        <w:rPr>
          <w:rFonts w:ascii="Calibri" w:eastAsia="Arial" w:hAnsi="Calibri" w:cs="Calibri"/>
          <w:sz w:val="22"/>
          <w:szCs w:val="22"/>
        </w:rPr>
      </w:pPr>
      <w:r>
        <w:rPr>
          <w:rFonts w:ascii="Calibri" w:hAnsi="Calibri"/>
          <w:sz w:val="22"/>
        </w:rPr>
        <w:t xml:space="preserve">Foru lege honek Nafarroako Aldizkari Ofizialean argitaratua izan eta biharamunean hartuko du indarra. </w:t>
      </w:r>
    </w:p>
    <w:sectPr w:rsidR="00795281" w:rsidRPr="00D97EA4" w:rsidSect="00850F72">
      <w:type w:val="continuous"/>
      <w:pgSz w:w="12240" w:h="20160"/>
      <w:pgMar w:top="1276" w:right="900" w:bottom="1418"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95281"/>
    <w:rsid w:val="00055AD9"/>
    <w:rsid w:val="00140276"/>
    <w:rsid w:val="003921A5"/>
    <w:rsid w:val="004B1E07"/>
    <w:rsid w:val="00680DF4"/>
    <w:rsid w:val="00790C55"/>
    <w:rsid w:val="00795281"/>
    <w:rsid w:val="00850F72"/>
    <w:rsid w:val="009739BA"/>
    <w:rsid w:val="00D70791"/>
    <w:rsid w:val="00D97EA4"/>
    <w:rsid w:val="00FA7E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D34E"/>
  <w15:docId w15:val="{DC9CCD5A-5818-4589-BB95-15080966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773</Words>
  <Characters>4254</Characters>
  <Application>Microsoft Office Word</Application>
  <DocSecurity>0</DocSecurity>
  <Lines>35</Lines>
  <Paragraphs>10</Paragraphs>
  <ScaleCrop>false</ScaleCrop>
  <Company>HP Inc.</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25PRO-3</dc:title>
  <dc:creator>informatica</dc:creator>
  <cp:keywords>CreatedByIRIS_Readiris_17.0</cp:keywords>
  <cp:lastModifiedBy>Martin Cestao, Nerea</cp:lastModifiedBy>
  <cp:revision>9</cp:revision>
  <dcterms:created xsi:type="dcterms:W3CDTF">2025-01-29T14:47:00Z</dcterms:created>
  <dcterms:modified xsi:type="dcterms:W3CDTF">2025-02-03T08:30:00Z</dcterms:modified>
</cp:coreProperties>
</file>