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85B2" w14:textId="1011205F" w:rsidR="008D7F85" w:rsidRPr="00054122" w:rsidRDefault="00054122" w:rsidP="00054122">
      <w:pPr>
        <w:jc w:val="both"/>
        <w:rPr>
          <w:rFonts w:ascii="Calibri" w:hAnsi="Calibri" w:cs="Calibri"/>
          <w:sz w:val="22"/>
          <w:szCs w:val="22"/>
        </w:rPr>
      </w:pPr>
      <w:r w:rsidRPr="00054122">
        <w:rPr>
          <w:rFonts w:ascii="Calibri" w:hAnsi="Calibri" w:cs="Calibri"/>
          <w:sz w:val="22"/>
          <w:szCs w:val="22"/>
        </w:rPr>
        <w:t>25MOC-47</w:t>
      </w:r>
    </w:p>
    <w:p w14:paraId="2C34CB65"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 xml:space="preserve">Ramón Alzórriz Goñi, </w:t>
      </w:r>
      <w:r w:rsidRPr="00054122">
        <w:rPr>
          <w:rFonts w:ascii="Calibri" w:hAnsi="Calibri" w:cs="Calibri"/>
          <w:sz w:val="22"/>
          <w:szCs w:val="22"/>
        </w:rPr>
        <w:t>p</w:t>
      </w:r>
      <w:r w:rsidRPr="00054122">
        <w:rPr>
          <w:rFonts w:ascii="Calibri" w:hAnsi="Calibri" w:cs="Calibri"/>
          <w:sz w:val="22"/>
          <w:szCs w:val="22"/>
        </w:rPr>
        <w:t xml:space="preserve">ortavoz del Grupo Parlamentario Partido Socialista de Navarra, al amparo de lo establecido en el Reglamento de la Cámara, presenta la siguiente </w:t>
      </w:r>
      <w:r w:rsidRPr="00054122">
        <w:rPr>
          <w:rFonts w:ascii="Calibri" w:hAnsi="Calibri" w:cs="Calibri"/>
          <w:sz w:val="22"/>
          <w:szCs w:val="22"/>
        </w:rPr>
        <w:t>moción</w:t>
      </w:r>
      <w:r w:rsidRPr="00054122">
        <w:rPr>
          <w:rFonts w:ascii="Calibri" w:hAnsi="Calibri" w:cs="Calibri"/>
          <w:sz w:val="22"/>
          <w:szCs w:val="22"/>
        </w:rPr>
        <w:t xml:space="preserve"> para su debate en el </w:t>
      </w:r>
      <w:r w:rsidRPr="00054122">
        <w:rPr>
          <w:rFonts w:ascii="Calibri" w:hAnsi="Calibri" w:cs="Calibri"/>
          <w:sz w:val="22"/>
          <w:szCs w:val="22"/>
        </w:rPr>
        <w:t>Pleno</w:t>
      </w:r>
      <w:r w:rsidRPr="00054122">
        <w:rPr>
          <w:rFonts w:ascii="Calibri" w:hAnsi="Calibri" w:cs="Calibri"/>
          <w:sz w:val="22"/>
          <w:szCs w:val="22"/>
        </w:rPr>
        <w:t xml:space="preserve"> del próximo 20 de marzo de 2025.</w:t>
      </w:r>
    </w:p>
    <w:p w14:paraId="34977825" w14:textId="539F9570" w:rsidR="00054122" w:rsidRPr="00054122" w:rsidRDefault="00054122" w:rsidP="00054122">
      <w:pPr>
        <w:jc w:val="both"/>
        <w:rPr>
          <w:rFonts w:ascii="Calibri" w:hAnsi="Calibri" w:cs="Calibri"/>
          <w:sz w:val="22"/>
          <w:szCs w:val="22"/>
        </w:rPr>
      </w:pPr>
      <w:r w:rsidRPr="00054122">
        <w:rPr>
          <w:rFonts w:ascii="Calibri" w:hAnsi="Calibri" w:cs="Calibri"/>
          <w:sz w:val="22"/>
          <w:szCs w:val="22"/>
        </w:rPr>
        <w:t>Comisión de seguimiento: Economía y Hacienda</w:t>
      </w:r>
    </w:p>
    <w:p w14:paraId="6724BC6D"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Exposición de motivos</w:t>
      </w:r>
    </w:p>
    <w:p w14:paraId="507EFB7C"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El fraude fiscal es económicamente insostenible y socialmente injusto. Provoca un enorme daño a la economía, a la Hacienda Tributaria de Navarra, y al fortalecimiento de los servicios públicos.</w:t>
      </w:r>
    </w:p>
    <w:p w14:paraId="2C3D0057"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En el año 2019 conocimos el informe “Estimación de la economía sumergida y diagnóstico del fraude fiscal en Navarra”, que estimaba que el efecto negativo de la recaudación entre los años 2008-2016 fue de casi 6.000 millones de euros, es decir, las arcas forales dejaron de ingresar una media de 638 millones de euros en concepto de fraude cada uno de esos años.</w:t>
      </w:r>
    </w:p>
    <w:p w14:paraId="274DE87E" w14:textId="38FE69E4" w:rsidR="00054122" w:rsidRPr="00054122" w:rsidRDefault="00054122" w:rsidP="00054122">
      <w:pPr>
        <w:jc w:val="both"/>
        <w:rPr>
          <w:rFonts w:ascii="Calibri" w:hAnsi="Calibri" w:cs="Calibri"/>
          <w:sz w:val="22"/>
          <w:szCs w:val="22"/>
        </w:rPr>
      </w:pPr>
      <w:r w:rsidRPr="00054122">
        <w:rPr>
          <w:rFonts w:ascii="Calibri" w:hAnsi="Calibri" w:cs="Calibri"/>
          <w:sz w:val="22"/>
          <w:szCs w:val="22"/>
        </w:rPr>
        <w:t xml:space="preserve">Es por ello </w:t>
      </w:r>
      <w:r w:rsidRPr="00054122">
        <w:rPr>
          <w:rFonts w:ascii="Calibri" w:hAnsi="Calibri" w:cs="Calibri"/>
          <w:sz w:val="22"/>
          <w:szCs w:val="22"/>
        </w:rPr>
        <w:t>por lo que</w:t>
      </w:r>
      <w:r w:rsidRPr="00054122">
        <w:rPr>
          <w:rFonts w:ascii="Calibri" w:hAnsi="Calibri" w:cs="Calibri"/>
          <w:sz w:val="22"/>
          <w:szCs w:val="22"/>
        </w:rPr>
        <w:t xml:space="preserve"> la prevención y la lucha contra el fraude fiscal es uno de los principales retos en el que trabaja de manera permanente Gobierno de Navarra como elemento clave para asegurar la justicia tributaria e incrementar la eficacia recaudatoria del sistema tributario. A lo largo de estos años en la Comunidad Foral de Navarra la estrategia contra el fraude fiscal ha sido claramente reforzada con medidas legislativas y operativas, tal y como se refleja anualmente en la aprobación de las sucesivas leyes forales, la implantación de planes y otras acciones de índole similar y las actuaciones de control por parte de la Hacienda Tributaria de Navarra. En definitiva, debemos recordar la importancia máxima que tiene para toda administración tributaria el desarrollo de todas las herramientas necesarias para la lucha contra el fraude a través de todas las vías en las que se presenta.</w:t>
      </w:r>
    </w:p>
    <w:p w14:paraId="1598EDCF" w14:textId="035D2480" w:rsidR="00054122" w:rsidRPr="00054122" w:rsidRDefault="00054122" w:rsidP="00054122">
      <w:pPr>
        <w:jc w:val="both"/>
        <w:rPr>
          <w:rFonts w:ascii="Calibri" w:hAnsi="Calibri" w:cs="Calibri"/>
          <w:sz w:val="22"/>
          <w:szCs w:val="22"/>
        </w:rPr>
      </w:pPr>
      <w:r w:rsidRPr="00054122">
        <w:rPr>
          <w:rFonts w:ascii="Calibri" w:hAnsi="Calibri" w:cs="Calibri"/>
          <w:sz w:val="22"/>
          <w:szCs w:val="22"/>
        </w:rPr>
        <w:t>En ese sentido, no hay que obviar la creciente corriente de opinión pública, tanto desde determinadas formaciones políticas como desde distintos sectores de la sociedad que desacreditan la importancia del pago de impuestos y el consecuente riesgo de que se traten de producir elusiones fiscales.</w:t>
      </w:r>
    </w:p>
    <w:p w14:paraId="3AE716A9"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 xml:space="preserve">Hacienda Foral de Navarra y todas las </w:t>
      </w:r>
      <w:r w:rsidRPr="00054122">
        <w:rPr>
          <w:rFonts w:ascii="Calibri" w:hAnsi="Calibri" w:cs="Calibri"/>
          <w:sz w:val="22"/>
          <w:szCs w:val="22"/>
        </w:rPr>
        <w:t>A</w:t>
      </w:r>
      <w:r w:rsidRPr="00054122">
        <w:rPr>
          <w:rFonts w:ascii="Calibri" w:hAnsi="Calibri" w:cs="Calibri"/>
          <w:sz w:val="22"/>
          <w:szCs w:val="22"/>
        </w:rPr>
        <w:t>dministraciones tributarias deben estar en alerta y para ello se hace necesario actualizar las dotaciones, los objetivos y los medios necesarios para optimizar ese esfuerzo en la lucha contra el fraude y la economía sumergida.</w:t>
      </w:r>
    </w:p>
    <w:p w14:paraId="59AD572C"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 xml:space="preserve">Por ello, el Grupo Parlamentario Partido Socialista de Navarra presenta la siguiente </w:t>
      </w:r>
      <w:r w:rsidRPr="00054122">
        <w:rPr>
          <w:rFonts w:ascii="Calibri" w:hAnsi="Calibri" w:cs="Calibri"/>
          <w:sz w:val="22"/>
          <w:szCs w:val="22"/>
        </w:rPr>
        <w:t>moción:</w:t>
      </w:r>
    </w:p>
    <w:p w14:paraId="61E3E0A9"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1. El Parlamento de Navarra insta a Gobierno de Navarra a actualizar el informe “Estimación de la economía sumergida y diagnóstico del fraude fiscal en Navarra”. 2. El Parlamento de Navarra insta al Gobierno de Navarra a elaborar en el plazo de seis meses un plan trienal de lucha contra el fraude fiscal. Dicho plan se actualizará anualmente y contendrá, al menos:</w:t>
      </w:r>
    </w:p>
    <w:p w14:paraId="0B462A56"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a) Objetivos concretos de la estrategia diseñada para impulsar la prevención, detección y persecución real del fraude fiscal.</w:t>
      </w:r>
    </w:p>
    <w:p w14:paraId="7E7BCB03"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b) Medidas y acciones a realizar dirigidas a la consecución de tales objetivos, entre las que se incluirán la dotación de los recursos necesarios para su cumplimiento.</w:t>
      </w:r>
    </w:p>
    <w:p w14:paraId="2EFB6004"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lastRenderedPageBreak/>
        <w:t>c) Seguimiento continuo y evaluación anual de los resultados obtenidos en relación con los objetivos perseguidos.</w:t>
      </w:r>
    </w:p>
    <w:p w14:paraId="7B44C617" w14:textId="77777777" w:rsidR="00054122" w:rsidRPr="00054122" w:rsidRDefault="00054122" w:rsidP="00054122">
      <w:pPr>
        <w:jc w:val="both"/>
        <w:rPr>
          <w:rFonts w:ascii="Calibri" w:hAnsi="Calibri" w:cs="Calibri"/>
          <w:sz w:val="22"/>
          <w:szCs w:val="22"/>
        </w:rPr>
      </w:pPr>
      <w:r w:rsidRPr="00054122">
        <w:rPr>
          <w:rFonts w:ascii="Calibri" w:hAnsi="Calibri" w:cs="Calibri"/>
          <w:sz w:val="22"/>
          <w:szCs w:val="22"/>
        </w:rPr>
        <w:t>Pamplona, a 13 de marzo de 2025</w:t>
      </w:r>
    </w:p>
    <w:p w14:paraId="1EA7CBD9" w14:textId="03B6E3CB" w:rsidR="00054122" w:rsidRPr="00054122" w:rsidRDefault="00054122" w:rsidP="00054122">
      <w:pPr>
        <w:jc w:val="both"/>
        <w:rPr>
          <w:rFonts w:ascii="Calibri" w:hAnsi="Calibri" w:cs="Calibri"/>
          <w:sz w:val="22"/>
          <w:szCs w:val="22"/>
        </w:rPr>
      </w:pPr>
      <w:r w:rsidRPr="00054122">
        <w:rPr>
          <w:rFonts w:ascii="Calibri" w:hAnsi="Calibri" w:cs="Calibri"/>
          <w:sz w:val="22"/>
          <w:szCs w:val="22"/>
        </w:rPr>
        <w:t xml:space="preserve">El Parlamentario Foral: </w:t>
      </w:r>
      <w:r w:rsidRPr="00054122">
        <w:rPr>
          <w:rFonts w:ascii="Calibri" w:hAnsi="Calibri" w:cs="Calibri"/>
          <w:sz w:val="22"/>
          <w:szCs w:val="22"/>
        </w:rPr>
        <w:t>Ramón Alzórriz Goñi</w:t>
      </w:r>
    </w:p>
    <w:sectPr w:rsidR="00054122" w:rsidRPr="000541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22"/>
    <w:rsid w:val="00054122"/>
    <w:rsid w:val="003E3E22"/>
    <w:rsid w:val="005762CC"/>
    <w:rsid w:val="00600DE2"/>
    <w:rsid w:val="0066179D"/>
    <w:rsid w:val="0066283F"/>
    <w:rsid w:val="008D7F85"/>
    <w:rsid w:val="00A36075"/>
    <w:rsid w:val="00A877BA"/>
    <w:rsid w:val="00B0049F"/>
    <w:rsid w:val="00B81112"/>
    <w:rsid w:val="00C01BD6"/>
    <w:rsid w:val="00C14CE4"/>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30E6"/>
  <w15:chartTrackingRefBased/>
  <w15:docId w15:val="{FF1EEF40-FECA-4907-BACE-A1689F28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4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4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41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41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41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41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41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41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41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41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41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41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41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41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41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41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41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4122"/>
    <w:rPr>
      <w:rFonts w:eastAsiaTheme="majorEastAsia" w:cstheme="majorBidi"/>
      <w:color w:val="272727" w:themeColor="text1" w:themeTint="D8"/>
    </w:rPr>
  </w:style>
  <w:style w:type="paragraph" w:styleId="Ttulo">
    <w:name w:val="Title"/>
    <w:basedOn w:val="Normal"/>
    <w:next w:val="Normal"/>
    <w:link w:val="TtuloCar"/>
    <w:uiPriority w:val="10"/>
    <w:qFormat/>
    <w:rsid w:val="00054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41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41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41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4122"/>
    <w:pPr>
      <w:spacing w:before="160"/>
      <w:jc w:val="center"/>
    </w:pPr>
    <w:rPr>
      <w:i/>
      <w:iCs/>
      <w:color w:val="404040" w:themeColor="text1" w:themeTint="BF"/>
    </w:rPr>
  </w:style>
  <w:style w:type="character" w:customStyle="1" w:styleId="CitaCar">
    <w:name w:val="Cita Car"/>
    <w:basedOn w:val="Fuentedeprrafopredeter"/>
    <w:link w:val="Cita"/>
    <w:uiPriority w:val="29"/>
    <w:rsid w:val="00054122"/>
    <w:rPr>
      <w:i/>
      <w:iCs/>
      <w:color w:val="404040" w:themeColor="text1" w:themeTint="BF"/>
    </w:rPr>
  </w:style>
  <w:style w:type="paragraph" w:styleId="Prrafodelista">
    <w:name w:val="List Paragraph"/>
    <w:basedOn w:val="Normal"/>
    <w:uiPriority w:val="34"/>
    <w:qFormat/>
    <w:rsid w:val="00054122"/>
    <w:pPr>
      <w:ind w:left="720"/>
      <w:contextualSpacing/>
    </w:pPr>
  </w:style>
  <w:style w:type="character" w:styleId="nfasisintenso">
    <w:name w:val="Intense Emphasis"/>
    <w:basedOn w:val="Fuentedeprrafopredeter"/>
    <w:uiPriority w:val="21"/>
    <w:qFormat/>
    <w:rsid w:val="00054122"/>
    <w:rPr>
      <w:i/>
      <w:iCs/>
      <w:color w:val="0F4761" w:themeColor="accent1" w:themeShade="BF"/>
    </w:rPr>
  </w:style>
  <w:style w:type="paragraph" w:styleId="Citadestacada">
    <w:name w:val="Intense Quote"/>
    <w:basedOn w:val="Normal"/>
    <w:next w:val="Normal"/>
    <w:link w:val="CitadestacadaCar"/>
    <w:uiPriority w:val="30"/>
    <w:qFormat/>
    <w:rsid w:val="00054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4122"/>
    <w:rPr>
      <w:i/>
      <w:iCs/>
      <w:color w:val="0F4761" w:themeColor="accent1" w:themeShade="BF"/>
    </w:rPr>
  </w:style>
  <w:style w:type="character" w:styleId="Referenciaintensa">
    <w:name w:val="Intense Reference"/>
    <w:basedOn w:val="Fuentedeprrafopredeter"/>
    <w:uiPriority w:val="32"/>
    <w:qFormat/>
    <w:rsid w:val="00054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2767</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2025-03-14T06:46:00Z</dcterms:created>
  <dcterms:modified xsi:type="dcterms:W3CDTF">2025-03-14T06:52:00Z</dcterms:modified>
</cp:coreProperties>
</file>