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0887" w14:textId="1F949E66" w:rsidR="00FE5BD0" w:rsidRPr="00FE5BD0" w:rsidRDefault="00632A99" w:rsidP="00A21031">
      <w:pPr>
        <w:autoSpaceDE w:val="0"/>
        <w:autoSpaceDN w:val="0"/>
        <w:adjustRightInd w:val="0"/>
        <w:spacing w:line="360" w:lineRule="auto"/>
        <w:jc w:val="both"/>
        <w:rPr>
          <w:rFonts w:ascii="Calibri" w:hAnsi="Calibri" w:cs="Calibri"/>
          <w:sz w:val="22"/>
          <w:szCs w:val="22"/>
        </w:rPr>
      </w:pPr>
      <w:r w:rsidRPr="00FE5BD0">
        <w:rPr>
          <w:rFonts w:ascii="Calibri" w:hAnsi="Calibri" w:cs="Calibri"/>
          <w:sz w:val="22"/>
          <w:szCs w:val="22"/>
        </w:rPr>
        <w:t>El Consejero de</w:t>
      </w:r>
      <w:r w:rsidRPr="00FE5BD0">
        <w:rPr>
          <w:rFonts w:ascii="Calibri" w:hAnsi="Calibri" w:cs="Calibri"/>
          <w:color w:val="FF0000"/>
          <w:sz w:val="22"/>
          <w:szCs w:val="22"/>
        </w:rPr>
        <w:t xml:space="preserve"> </w:t>
      </w:r>
      <w:r w:rsidRPr="00FE5BD0">
        <w:rPr>
          <w:rFonts w:ascii="Calibri" w:hAnsi="Calibri" w:cs="Calibri"/>
          <w:sz w:val="22"/>
          <w:szCs w:val="22"/>
        </w:rPr>
        <w:t>Cohesión Territorial del Gobierno de Navarra, en relación con la pregunta para su contestación</w:t>
      </w:r>
      <w:r w:rsidR="00A21031" w:rsidRPr="00FE5BD0">
        <w:rPr>
          <w:rFonts w:ascii="Calibri" w:hAnsi="Calibri" w:cs="Calibri"/>
          <w:sz w:val="22"/>
          <w:szCs w:val="22"/>
        </w:rPr>
        <w:t xml:space="preserve"> por escrito formulada por el Parlamentario Foral Ilmo. Sr.</w:t>
      </w:r>
      <w:r w:rsidR="0068032D" w:rsidRPr="00FE5BD0">
        <w:rPr>
          <w:rFonts w:ascii="Calibri" w:hAnsi="Calibri" w:cs="Calibri"/>
          <w:sz w:val="22"/>
          <w:szCs w:val="22"/>
        </w:rPr>
        <w:t xml:space="preserve"> </w:t>
      </w:r>
      <w:r w:rsidR="00A21031" w:rsidRPr="00FE5BD0">
        <w:rPr>
          <w:rFonts w:ascii="Calibri" w:hAnsi="Calibri" w:cs="Calibri"/>
          <w:sz w:val="22"/>
          <w:szCs w:val="22"/>
        </w:rPr>
        <w:t>D.</w:t>
      </w:r>
      <w:r w:rsidR="00FE5BD0" w:rsidRPr="00FE5BD0">
        <w:rPr>
          <w:rFonts w:ascii="Calibri" w:hAnsi="Calibri" w:cs="Calibri"/>
          <w:sz w:val="22"/>
          <w:szCs w:val="22"/>
        </w:rPr>
        <w:t xml:space="preserve"> </w:t>
      </w:r>
      <w:r w:rsidR="000C0882" w:rsidRPr="00FE5BD0">
        <w:rPr>
          <w:rFonts w:ascii="Calibri" w:hAnsi="Calibri" w:cs="Calibri"/>
          <w:sz w:val="22"/>
          <w:szCs w:val="22"/>
        </w:rPr>
        <w:t>Félix Zapatero Soria</w:t>
      </w:r>
      <w:r w:rsidRPr="00FE5BD0">
        <w:rPr>
          <w:rFonts w:ascii="Calibri" w:hAnsi="Calibri" w:cs="Calibri"/>
          <w:sz w:val="22"/>
          <w:szCs w:val="22"/>
        </w:rPr>
        <w:t xml:space="preserve">, adscrito </w:t>
      </w:r>
      <w:r w:rsidR="00A21031" w:rsidRPr="00FE5BD0">
        <w:rPr>
          <w:rFonts w:ascii="Calibri" w:hAnsi="Calibri" w:cs="Calibri"/>
          <w:sz w:val="22"/>
          <w:szCs w:val="22"/>
        </w:rPr>
        <w:t xml:space="preserve">al Grupo Parlamentario </w:t>
      </w:r>
      <w:r w:rsidR="000C0882" w:rsidRPr="00FE5BD0">
        <w:rPr>
          <w:rFonts w:ascii="Calibri" w:hAnsi="Calibri" w:cs="Calibri"/>
          <w:sz w:val="22"/>
          <w:szCs w:val="22"/>
        </w:rPr>
        <w:t>Unión del Pueblo Navarro (UPN)</w:t>
      </w:r>
      <w:r w:rsidRPr="00FE5BD0">
        <w:rPr>
          <w:rFonts w:ascii="Calibri" w:hAnsi="Calibri" w:cs="Calibri"/>
          <w:sz w:val="22"/>
          <w:szCs w:val="22"/>
        </w:rPr>
        <w:t xml:space="preserve">, sobre </w:t>
      </w:r>
      <w:r w:rsidR="000C0882" w:rsidRPr="00FE5BD0">
        <w:rPr>
          <w:rFonts w:ascii="Calibri" w:hAnsi="Calibri" w:cs="Calibri"/>
          <w:color w:val="333333"/>
          <w:sz w:val="22"/>
          <w:szCs w:val="22"/>
        </w:rPr>
        <w:t>medidas en los pasos de fauna que atraviesan carreteras</w:t>
      </w:r>
      <w:r w:rsidR="00213058" w:rsidRPr="00FE5BD0">
        <w:rPr>
          <w:rFonts w:ascii="Calibri" w:hAnsi="Calibri" w:cs="Calibri"/>
          <w:sz w:val="22"/>
          <w:szCs w:val="22"/>
        </w:rPr>
        <w:t xml:space="preserve"> (11-25</w:t>
      </w:r>
      <w:r w:rsidR="0068032D" w:rsidRPr="00FE5BD0">
        <w:rPr>
          <w:rFonts w:ascii="Calibri" w:hAnsi="Calibri" w:cs="Calibri"/>
          <w:sz w:val="22"/>
          <w:szCs w:val="22"/>
        </w:rPr>
        <w:t>/PES-00</w:t>
      </w:r>
      <w:r w:rsidR="000C0882" w:rsidRPr="00FE5BD0">
        <w:rPr>
          <w:rFonts w:ascii="Calibri" w:hAnsi="Calibri" w:cs="Calibri"/>
          <w:sz w:val="22"/>
          <w:szCs w:val="22"/>
        </w:rPr>
        <w:t>013</w:t>
      </w:r>
      <w:r w:rsidRPr="00FE5BD0">
        <w:rPr>
          <w:rFonts w:ascii="Calibri" w:hAnsi="Calibri" w:cs="Calibri"/>
          <w:sz w:val="22"/>
          <w:szCs w:val="22"/>
        </w:rPr>
        <w:t>), informa lo siguiente:</w:t>
      </w:r>
    </w:p>
    <w:p w14:paraId="4CCD8CA4" w14:textId="77777777" w:rsidR="00FE5BD0"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El Gobierno de Navarra, a través del Servicio de Conservación de la Dirección General de Obras Públicas e Infraestructuras del Departamento de Cohesión Territorial, tiene contratado en la actualidad con una empresa especializada el denominado “Contrato de Redacción de los Estudios de Seguridad Vial en la Red de Carreteras de Navarra, años 2024-2028.</w:t>
      </w:r>
    </w:p>
    <w:p w14:paraId="16439B88" w14:textId="160805A7" w:rsidR="00AD4A33"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 xml:space="preserve">En este contrato se recopilan los datos anuales de accidentalidad dentro de la red de carreteras del Gobierno de Navarra, y se estudian y analizan junto con los datos de los últimos 4 años, obteniendo un Informe anual de accidentabilidad. </w:t>
      </w:r>
    </w:p>
    <w:p w14:paraId="0A0C63BE" w14:textId="77777777" w:rsidR="00FE5BD0"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A su vez, este informe se elabora de forma repetida cada uno de los 5 años del contrato. Con la información obtenida y su análisis se hallan tendencias en la accidentalidad que pueden ayudar a determinar políticas generales en las actuaciones a acometer en la red, así como la priorización de las mismas.</w:t>
      </w:r>
    </w:p>
    <w:p w14:paraId="6412F9BC" w14:textId="04995988" w:rsidR="00AD4A33"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 xml:space="preserve">Dentro de la amplia tipología de los accidentes de tráfico, destacan los accidentes producidos por atropellos de animales, y más concretamente, los pertenecientes a la fauna considerada como cinegética. Debido a ello, igualmente dentro del mencionado contrato, se realiza de forma bianual un Informe de accidentabilidad por atropello de fauna cinegética. </w:t>
      </w:r>
    </w:p>
    <w:p w14:paraId="7ACF9E48" w14:textId="77777777" w:rsidR="00FE5BD0"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Este informe también trabaja con los accidentes acaecidos durante el periodo de los últimos 5 años, que es el que se utiliza normalmente en estudios de seguridad vial.</w:t>
      </w:r>
    </w:p>
    <w:p w14:paraId="34B64570" w14:textId="185B1F62" w:rsidR="00AD4A33"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El objeto principal de estos estudios e informes es la descripción detallada de los accidentes ocurridos durante el periodo considerado, su ubicación, concentración y evolución, de forma que dicha información quede estructurada con la finalidad de establecer conclusiones que permitan orientar la redacción de programas de actuaciones que promuevan disminuir el número de accidentes.</w:t>
      </w:r>
    </w:p>
    <w:p w14:paraId="4F929D7F"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Dentro de las conclusiones obtenidas en cada informe, cabe destacar el cálculo e identificación de los llamados “Tramos de accidentabilidad por atropello de fauna cinegética (TAFs)”, y que corresponden a tramos de carretera que, en base a los accidentes ocurridos y su análisis, presentan un elevado riesgo de atropello de animales cinegéticos. Una vez obtenidos estos tramos se procede a señalizarlos en carretera con las debidas señales de tráfico, en este caso la señal reglamentaria P-24 (peligro por paso de animales en libertad) complementada si es el caso con la señal S-810 (indicativa de la longitud del tramo sujeto a señalización).</w:t>
      </w:r>
    </w:p>
    <w:p w14:paraId="10CBB21A" w14:textId="77777777" w:rsidR="00FE5BD0"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lastRenderedPageBreak/>
        <w:t>La principal actuación a realizar, una vez conocido el Informe de accidentabilidad por atropello de fauna cinegética de un año en concreto, es actualizar la señalización en carretera de los nuevos TAFs identificados, colocando nueva señalización y/o modificando la disposición de la existente.</w:t>
      </w:r>
    </w:p>
    <w:p w14:paraId="02ED19A1" w14:textId="09F82C64" w:rsidR="00AD4A33"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En 2023 se estableció un grupo de trabajo de accidentalidad cinegética formado por miembros de Policía Foral, del Servicio forestal y gestión cinegética del Departamento de Desarrollo Rural y Medio Ambiente, y del Servicio de Conservación del Departamento de Cohesión Territorial.</w:t>
      </w:r>
    </w:p>
    <w:p w14:paraId="5CFCDA6D"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Se realizan reuniones 2 veces al año para exponer y analizar desde un punto de vista multidisciplinar la realidad de la accidentalidad y las posibles actuaciones a realizar por las distintas partes. Entre las acciones llevadas a cabo, hay que destacar la señalización especial que se realizó en otoño de 2023 en 4 tramos de carretera, elegidos por destacar del resto en alta siniestralidad con animales, en los que se instaló cartelería especial de aviso a conductores sobre el peligro del tramo. También se instaló en 2 de esos tramos balizamiento especial diseñado para disuadir a la fauna del cruce de la carretera al paso de los vehículos.</w:t>
      </w:r>
    </w:p>
    <w:p w14:paraId="6B54767E"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 xml:space="preserve">También se han realizado controles policiales en dichas zonas para alertar e informar a los conductores de las circunstancias de dichos tramos, además del estudio de las poblaciones de jabalíes y corzos en las zonas mencionadas. </w:t>
      </w:r>
    </w:p>
    <w:p w14:paraId="2252AA06"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Las zonas donde se actuó fueron:</w:t>
      </w:r>
    </w:p>
    <w:p w14:paraId="58517189" w14:textId="77777777" w:rsidR="00AD4A33" w:rsidRPr="00FE5BD0" w:rsidRDefault="00AD4A33" w:rsidP="00AD4A33">
      <w:pPr>
        <w:pStyle w:val="Prrafodelista"/>
        <w:numPr>
          <w:ilvl w:val="0"/>
          <w:numId w:val="2"/>
        </w:numPr>
        <w:spacing w:after="120" w:line="360" w:lineRule="auto"/>
        <w:ind w:left="709"/>
        <w:jc w:val="both"/>
      </w:pPr>
      <w:r w:rsidRPr="00FE5BD0">
        <w:t>Zona 1, carretera NA-134 “EJE DEL EBRO” entre el kilómetro 9+000 y el kilómetro 14+000. Se pusieron carteles fluorescentes de nivel-3 de retrorreflexión con luces LEDs en la parte superior del cartel para alertar a los vehículos de la posible presencia de animales en ambos sentidos, además de las señales triangulares de peligro, algunas con placas complementarias con la distancia de actuación de la señal de peligro, existentes a lo largo del tramo.</w:t>
      </w:r>
    </w:p>
    <w:p w14:paraId="477D67F1" w14:textId="77777777" w:rsidR="00AD4A33" w:rsidRPr="00FE5BD0" w:rsidRDefault="00AD4A33" w:rsidP="00AD4A33">
      <w:pPr>
        <w:spacing w:after="120" w:line="360" w:lineRule="auto"/>
        <w:ind w:left="708"/>
        <w:jc w:val="both"/>
        <w:rPr>
          <w:rFonts w:ascii="Calibri" w:hAnsi="Calibri" w:cs="Calibri"/>
          <w:sz w:val="22"/>
          <w:szCs w:val="22"/>
        </w:rPr>
      </w:pPr>
      <w:r w:rsidRPr="00FE5BD0">
        <w:rPr>
          <w:rFonts w:ascii="Calibri" w:hAnsi="Calibri" w:cs="Calibri"/>
          <w:sz w:val="22"/>
          <w:szCs w:val="22"/>
        </w:rPr>
        <w:t>También se colocaron hitos disuasorios en los laterales de la calzada que proyectan la luz de los vehículos hacia los animales que en ese momento quieran pasar.</w:t>
      </w:r>
    </w:p>
    <w:p w14:paraId="310953DB" w14:textId="77777777" w:rsidR="00AD4A33" w:rsidRPr="00FE5BD0" w:rsidRDefault="00AD4A33" w:rsidP="00AD4A33">
      <w:pPr>
        <w:pStyle w:val="Prrafodelista"/>
        <w:numPr>
          <w:ilvl w:val="0"/>
          <w:numId w:val="2"/>
        </w:numPr>
        <w:spacing w:after="120" w:line="360" w:lineRule="auto"/>
        <w:ind w:left="709"/>
        <w:jc w:val="both"/>
      </w:pPr>
      <w:r w:rsidRPr="00FE5BD0">
        <w:t>Zona 2, N-121 “PAMPLONA / IRUÑA – TUDELA” entre el kilómetro 20+000 y el kilómetro 24+000. Se pusieron carteles fluorescentes de nivel-3 de retrorreflexión con luces LEDs en la parte superior del cartel para alertar a los vehículos de la posible presencia de animales en ambos sentidos, además de las señales triangulares de peligro, algunas con placas complementarias con la distancia de actuación de la señal de peligro, existentes a lo largo del tramo.</w:t>
      </w:r>
    </w:p>
    <w:p w14:paraId="4DE2C117" w14:textId="77777777" w:rsidR="00AD4A33" w:rsidRPr="00FE5BD0" w:rsidRDefault="00AD4A33" w:rsidP="00AD4A33">
      <w:pPr>
        <w:pStyle w:val="Prrafodelista"/>
        <w:numPr>
          <w:ilvl w:val="0"/>
          <w:numId w:val="2"/>
        </w:numPr>
        <w:spacing w:after="120" w:line="360" w:lineRule="auto"/>
        <w:ind w:left="709"/>
        <w:jc w:val="both"/>
      </w:pPr>
      <w:r w:rsidRPr="00FE5BD0">
        <w:t xml:space="preserve">Zona 3, carretera N-240-A “PAMPLONA / IRUÑA - "VITORIA-GASTEIZ"” entre el kilómetro 13+000 y el kilómetro 16+730. Se pusieron carteles fluorescentes de nivel-3 de retrorreflexión con luces leds en la parte superior del cartel para alertar a los vehículos de la posible presencia </w:t>
      </w:r>
      <w:r w:rsidRPr="00FE5BD0">
        <w:lastRenderedPageBreak/>
        <w:t>de animales en ambos sentidos, además de las señales triangulares de peligro, algunas con placas complementarias con la distancia de actuación de la señal de peligro, existentes a lo largo del tramo.</w:t>
      </w:r>
    </w:p>
    <w:p w14:paraId="0F16629B" w14:textId="77777777" w:rsidR="00AD4A33" w:rsidRPr="00FE5BD0" w:rsidRDefault="00AD4A33" w:rsidP="00AD4A33">
      <w:pPr>
        <w:spacing w:after="120" w:line="360" w:lineRule="auto"/>
        <w:ind w:left="708"/>
        <w:jc w:val="both"/>
        <w:rPr>
          <w:rFonts w:ascii="Calibri" w:hAnsi="Calibri" w:cs="Calibri"/>
          <w:sz w:val="22"/>
          <w:szCs w:val="22"/>
        </w:rPr>
      </w:pPr>
      <w:r w:rsidRPr="00FE5BD0">
        <w:rPr>
          <w:rFonts w:ascii="Calibri" w:hAnsi="Calibri" w:cs="Calibri"/>
          <w:sz w:val="22"/>
          <w:szCs w:val="22"/>
        </w:rPr>
        <w:t>También se colocaron hitos disuasorios en los laterales de la calzada que proyectan la luz de los vehículos hacia los animales que en ese momento quieran pasar.</w:t>
      </w:r>
    </w:p>
    <w:p w14:paraId="4762466E" w14:textId="77777777" w:rsidR="00FE5BD0" w:rsidRPr="00FE5BD0" w:rsidRDefault="00AD4A33" w:rsidP="00AD4A33">
      <w:pPr>
        <w:pStyle w:val="Prrafodelista"/>
        <w:numPr>
          <w:ilvl w:val="0"/>
          <w:numId w:val="2"/>
        </w:numPr>
        <w:spacing w:after="120" w:line="360" w:lineRule="auto"/>
        <w:ind w:left="709"/>
        <w:jc w:val="both"/>
      </w:pPr>
      <w:r w:rsidRPr="00FE5BD0">
        <w:t>Zona 4, NA-132-A “"ESTELLA-LIZARRA" - "VITORIA-GASTEIZ"” entre el kilómetro 4+000 y el kilómetro 9+000 (afectaba en ese tramo al cruce con la NA-132-B “Variante de IGÚZQUIZA”). Se pusieron carteles fluorescentes de nivel-3 de retrorreflexión con luces LEDs en la parte superior del cartel para alertar a los vehículos de la posible presencia de animales en ambos sentidos, y también en el inicio de la carretera NA-134-B, además de las señales triangulares de peligro, algunas con placas complementarias con la distancia de actuación de la señal de peligro, existentes a lo largo del tramo y de la carretera adicional NA-134-B.</w:t>
      </w:r>
    </w:p>
    <w:p w14:paraId="0DC6C7BD" w14:textId="717C44A4" w:rsidR="00AD4A33" w:rsidRPr="00FE5BD0" w:rsidRDefault="00AD4A33" w:rsidP="00AD4A33">
      <w:pPr>
        <w:spacing w:line="360" w:lineRule="auto"/>
        <w:ind w:firstLine="708"/>
        <w:jc w:val="both"/>
        <w:rPr>
          <w:rFonts w:ascii="Calibri" w:hAnsi="Calibri" w:cs="Calibri"/>
          <w:sz w:val="22"/>
          <w:szCs w:val="22"/>
        </w:rPr>
      </w:pPr>
      <w:r w:rsidRPr="00FE5BD0">
        <w:rPr>
          <w:rFonts w:ascii="Calibri" w:hAnsi="Calibri" w:cs="Calibri"/>
          <w:sz w:val="22"/>
          <w:szCs w:val="22"/>
        </w:rPr>
        <w:t xml:space="preserve">La información de la existencia de señalización P-24 de “Paso de animales en libertad. Peligro por la proximidad de un lugar donde frecuentemente la vía puede ser atravesada por animales en libertad” correspondiente a todas las carreteras de la Comunidad Foral de Navarra es pública y está disponible para su consulta en la página web </w:t>
      </w:r>
      <w:r w:rsidRPr="00FE5BD0">
        <w:rPr>
          <w:rFonts w:ascii="Calibri" w:hAnsi="Calibri" w:cs="Calibri"/>
          <w:color w:val="4F81BD" w:themeColor="accent1"/>
          <w:sz w:val="22"/>
          <w:szCs w:val="22"/>
        </w:rPr>
        <w:t>http://www.cfnavarra.es/obraspublicas/index.htm</w:t>
      </w:r>
      <w:r w:rsidRPr="00FE5BD0">
        <w:rPr>
          <w:rFonts w:ascii="Calibri" w:hAnsi="Calibri" w:cs="Calibri"/>
          <w:sz w:val="22"/>
          <w:szCs w:val="22"/>
        </w:rPr>
        <w:t>.; es un documento de fecha 12 de diciembre de 2018, el cual se actualiza puntualmente.</w:t>
      </w:r>
    </w:p>
    <w:p w14:paraId="1DE9460D"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Con el fin de facilitar información a la ciudadanía, se ha elaborado y publicado en 2024 una capa de información geográfica de carácter público en el portal IDENA del Gobierno de Navarra con información de las señales P-24 actualizadas.</w:t>
      </w:r>
    </w:p>
    <w:p w14:paraId="19311088" w14:textId="77777777" w:rsidR="00AD4A33" w:rsidRPr="00FE5BD0" w:rsidRDefault="00AD4A33" w:rsidP="00AD4A33">
      <w:pPr>
        <w:spacing w:line="360" w:lineRule="auto"/>
        <w:jc w:val="both"/>
        <w:rPr>
          <w:rFonts w:ascii="Calibri" w:hAnsi="Calibri" w:cs="Calibri"/>
          <w:sz w:val="22"/>
          <w:szCs w:val="22"/>
        </w:rPr>
      </w:pPr>
      <w:r w:rsidRPr="00FE5BD0">
        <w:rPr>
          <w:rFonts w:ascii="Calibri" w:hAnsi="Calibri" w:cs="Calibri"/>
          <w:sz w:val="22"/>
          <w:szCs w:val="22"/>
        </w:rPr>
        <w:t>Dicha capa está accesible desde:</w:t>
      </w:r>
    </w:p>
    <w:p w14:paraId="2644FEBF" w14:textId="77777777" w:rsidR="00FE5BD0" w:rsidRPr="00FE5BD0" w:rsidRDefault="00AD4A33" w:rsidP="00AD4A33">
      <w:pPr>
        <w:pStyle w:val="Prrafodelista"/>
        <w:numPr>
          <w:ilvl w:val="0"/>
          <w:numId w:val="1"/>
        </w:numPr>
        <w:spacing w:line="360" w:lineRule="auto"/>
      </w:pPr>
      <w:r w:rsidRPr="00FE5BD0">
        <w:t xml:space="preserve">Para descarga y reutilización: </w:t>
      </w:r>
      <w:hyperlink r:id="rId7" w:history="1">
        <w:r w:rsidRPr="00FE5BD0">
          <w:rPr>
            <w:rStyle w:val="Hipervnculo"/>
          </w:rPr>
          <w:t>https://datosabiertos.navarra.es/dataset/spasitnainfrae_sym_senalfauna-xml</w:t>
        </w:r>
      </w:hyperlink>
    </w:p>
    <w:p w14:paraId="14581EAA" w14:textId="2034D7BC" w:rsidR="00AD4A33" w:rsidRPr="00FE5BD0" w:rsidRDefault="00AD4A33" w:rsidP="00AD4A33">
      <w:pPr>
        <w:pStyle w:val="Prrafodelista"/>
        <w:numPr>
          <w:ilvl w:val="0"/>
          <w:numId w:val="1"/>
        </w:numPr>
        <w:spacing w:line="360" w:lineRule="auto"/>
      </w:pPr>
      <w:r w:rsidRPr="00FE5BD0">
        <w:t>Para consulta pública:</w:t>
      </w:r>
    </w:p>
    <w:p w14:paraId="158DA9A9" w14:textId="45F7B023" w:rsidR="00632A99" w:rsidRPr="00FE5BD0" w:rsidRDefault="00AD4A33" w:rsidP="00FE5BD0">
      <w:pPr>
        <w:spacing w:line="360" w:lineRule="auto"/>
        <w:ind w:left="708"/>
        <w:rPr>
          <w:rFonts w:ascii="Calibri" w:hAnsi="Calibri" w:cs="Calibri"/>
          <w:sz w:val="22"/>
          <w:szCs w:val="22"/>
        </w:rPr>
      </w:pPr>
      <w:hyperlink r:id="rId8" w:history="1">
        <w:r w:rsidRPr="00FE5BD0">
          <w:rPr>
            <w:rStyle w:val="Hipervnculo"/>
            <w:rFonts w:ascii="Calibri" w:hAnsi="Calibri" w:cs="Calibri"/>
            <w:sz w:val="22"/>
            <w:szCs w:val="22"/>
          </w:rPr>
          <w:t>https://idena.navarra.es/navegar/#ZXh0fGJhc2V8bWFwYWJhc2V8bGF5ZXJzfHV8Ly9pZGVuYS5uYXZhcnJhLmVzL29nYy93bXN8bnxzZW5hbENpbmVnZXRpY2F8b3x2fGh8dXJ8Znx0fElERU5BfGl8bGNhdC0xLTFeMV42MDQ5ODAuMTU1fDQ3MjUwODAuNDN8NjM1NTcyLjE1NXw0NzQwNjY0LjQzXiQwfEBJfEp8S3xMXXwxfDJ8M3xAJDR8NXw2fDd8OHxIfDl8LTF8QXwtMXxCfC01fEN8LTV8RHxFfEZ8R11dXQ==</w:t>
        </w:r>
      </w:hyperlink>
    </w:p>
    <w:p w14:paraId="4A974AE7" w14:textId="3EE447C8" w:rsidR="00FE5BD0" w:rsidRPr="00FE5BD0" w:rsidRDefault="00632A99" w:rsidP="00BA0C45">
      <w:pPr>
        <w:spacing w:line="360" w:lineRule="auto"/>
        <w:jc w:val="both"/>
        <w:rPr>
          <w:rFonts w:ascii="Calibri" w:hAnsi="Calibri" w:cs="Calibri"/>
          <w:sz w:val="22"/>
          <w:szCs w:val="22"/>
        </w:rPr>
      </w:pPr>
      <w:r w:rsidRPr="00FE5BD0">
        <w:rPr>
          <w:rFonts w:ascii="Calibri" w:hAnsi="Calibri" w:cs="Calibri"/>
          <w:sz w:val="22"/>
          <w:szCs w:val="22"/>
        </w:rPr>
        <w:t>Es cuanto informo en cumplimiento de lo dispuesto en el artículo 215 del Reglamento del Parlamento d</w:t>
      </w:r>
      <w:r w:rsidR="00BA0C45" w:rsidRPr="00FE5BD0">
        <w:rPr>
          <w:rFonts w:ascii="Calibri" w:hAnsi="Calibri" w:cs="Calibri"/>
          <w:sz w:val="22"/>
          <w:szCs w:val="22"/>
        </w:rPr>
        <w:t>e Navarra</w:t>
      </w:r>
      <w:r w:rsidR="00FE5BD0" w:rsidRPr="00FE5BD0">
        <w:rPr>
          <w:rFonts w:ascii="Calibri" w:hAnsi="Calibri" w:cs="Calibri"/>
          <w:sz w:val="22"/>
          <w:szCs w:val="22"/>
        </w:rPr>
        <w:t>.</w:t>
      </w:r>
    </w:p>
    <w:p w14:paraId="3A6AB332" w14:textId="77777777" w:rsidR="00632A99" w:rsidRPr="00FE5BD0" w:rsidRDefault="000C0882" w:rsidP="00FE5BD0">
      <w:pPr>
        <w:spacing w:line="360" w:lineRule="auto"/>
        <w:rPr>
          <w:rFonts w:ascii="Calibri" w:hAnsi="Calibri" w:cs="Calibri"/>
          <w:sz w:val="22"/>
          <w:szCs w:val="22"/>
        </w:rPr>
      </w:pPr>
      <w:r w:rsidRPr="00FE5BD0">
        <w:rPr>
          <w:rFonts w:ascii="Calibri" w:hAnsi="Calibri" w:cs="Calibri"/>
          <w:sz w:val="22"/>
          <w:szCs w:val="22"/>
        </w:rPr>
        <w:t>Pamplona-Iruñea, 11 de febrero</w:t>
      </w:r>
      <w:r w:rsidR="00213058" w:rsidRPr="00FE5BD0">
        <w:rPr>
          <w:rFonts w:ascii="Calibri" w:hAnsi="Calibri" w:cs="Calibri"/>
          <w:sz w:val="22"/>
          <w:szCs w:val="22"/>
        </w:rPr>
        <w:t xml:space="preserve"> de 2025</w:t>
      </w:r>
    </w:p>
    <w:p w14:paraId="2279A5F4" w14:textId="540F4AC8" w:rsidR="00A2145B" w:rsidRPr="00FE5BD0" w:rsidRDefault="00FE5BD0" w:rsidP="00FE5BD0">
      <w:pPr>
        <w:spacing w:line="360" w:lineRule="auto"/>
        <w:rPr>
          <w:rFonts w:ascii="Calibri" w:hAnsi="Calibri" w:cs="Calibri"/>
          <w:sz w:val="22"/>
          <w:szCs w:val="22"/>
        </w:rPr>
      </w:pPr>
      <w:r w:rsidRPr="00FE5BD0">
        <w:rPr>
          <w:rFonts w:ascii="Calibri" w:hAnsi="Calibri" w:cs="Calibri"/>
          <w:sz w:val="22"/>
          <w:szCs w:val="22"/>
        </w:rPr>
        <w:t xml:space="preserve">El Consejero de Cohesión Territorial: </w:t>
      </w:r>
      <w:r w:rsidR="00632A99" w:rsidRPr="00FE5BD0">
        <w:rPr>
          <w:rFonts w:ascii="Calibri" w:hAnsi="Calibri" w:cs="Calibri"/>
          <w:sz w:val="22"/>
          <w:szCs w:val="22"/>
        </w:rPr>
        <w:t>Óscar Chivite Cornago</w:t>
      </w:r>
    </w:p>
    <w:sectPr w:rsidR="00A2145B" w:rsidRPr="00FE5BD0" w:rsidSect="00F037C2">
      <w:headerReference w:type="first" r:id="rId9"/>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0C5E" w14:textId="77777777" w:rsidR="00365417" w:rsidRDefault="00365417">
      <w:r>
        <w:separator/>
      </w:r>
    </w:p>
  </w:endnote>
  <w:endnote w:type="continuationSeparator" w:id="0">
    <w:p w14:paraId="1A31337D" w14:textId="77777777" w:rsidR="00365417" w:rsidRDefault="003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41CB" w14:textId="77777777" w:rsidR="00365417" w:rsidRDefault="00365417">
      <w:r>
        <w:separator/>
      </w:r>
    </w:p>
  </w:footnote>
  <w:footnote w:type="continuationSeparator" w:id="0">
    <w:p w14:paraId="3125EDED" w14:textId="77777777" w:rsidR="00365417" w:rsidRDefault="0036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05BC" w14:textId="0BAB6CFB"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45FA"/>
    <w:multiLevelType w:val="hybridMultilevel"/>
    <w:tmpl w:val="86002E5C"/>
    <w:lvl w:ilvl="0" w:tplc="4DA080C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39EE1465"/>
    <w:multiLevelType w:val="hybridMultilevel"/>
    <w:tmpl w:val="AF4C6578"/>
    <w:lvl w:ilvl="0" w:tplc="D00E5B1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50307136">
    <w:abstractNumId w:val="1"/>
  </w:num>
  <w:num w:numId="2" w16cid:durableId="15161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0C0882"/>
    <w:rsid w:val="0016419F"/>
    <w:rsid w:val="00173C5C"/>
    <w:rsid w:val="00190AB4"/>
    <w:rsid w:val="00192064"/>
    <w:rsid w:val="00213058"/>
    <w:rsid w:val="00277C9A"/>
    <w:rsid w:val="0028263D"/>
    <w:rsid w:val="002F09C8"/>
    <w:rsid w:val="00365417"/>
    <w:rsid w:val="003A4FD0"/>
    <w:rsid w:val="003F1206"/>
    <w:rsid w:val="00511892"/>
    <w:rsid w:val="005367EB"/>
    <w:rsid w:val="005B095B"/>
    <w:rsid w:val="00632A99"/>
    <w:rsid w:val="0068032D"/>
    <w:rsid w:val="00696F6F"/>
    <w:rsid w:val="006A5952"/>
    <w:rsid w:val="006B428B"/>
    <w:rsid w:val="007018B0"/>
    <w:rsid w:val="00793F61"/>
    <w:rsid w:val="00794754"/>
    <w:rsid w:val="00943144"/>
    <w:rsid w:val="00994342"/>
    <w:rsid w:val="009E202F"/>
    <w:rsid w:val="009E381E"/>
    <w:rsid w:val="009F410E"/>
    <w:rsid w:val="00A077F0"/>
    <w:rsid w:val="00A117E7"/>
    <w:rsid w:val="00A21031"/>
    <w:rsid w:val="00A2145B"/>
    <w:rsid w:val="00A357A5"/>
    <w:rsid w:val="00A52259"/>
    <w:rsid w:val="00AB50BD"/>
    <w:rsid w:val="00AD4A33"/>
    <w:rsid w:val="00B46857"/>
    <w:rsid w:val="00B662C6"/>
    <w:rsid w:val="00B96F7E"/>
    <w:rsid w:val="00BA0C45"/>
    <w:rsid w:val="00BA7B9D"/>
    <w:rsid w:val="00BD6A02"/>
    <w:rsid w:val="00BE2BD3"/>
    <w:rsid w:val="00CA2943"/>
    <w:rsid w:val="00CB03BC"/>
    <w:rsid w:val="00CC1284"/>
    <w:rsid w:val="00D21BBF"/>
    <w:rsid w:val="00DE0040"/>
    <w:rsid w:val="00DF6784"/>
    <w:rsid w:val="00E51A02"/>
    <w:rsid w:val="00E8181E"/>
    <w:rsid w:val="00EC5374"/>
    <w:rsid w:val="00F037C2"/>
    <w:rsid w:val="00F344C7"/>
    <w:rsid w:val="00FE5BD0"/>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D9E531"/>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s-ES_tradnl"/>
    </w:rPr>
  </w:style>
  <w:style w:type="character" w:customStyle="1" w:styleId="TextoindependienteCar">
    <w:name w:val="Texto independiente Car"/>
    <w:basedOn w:val="Fuentedeprrafopredeter"/>
    <w:link w:val="Textoindependiente"/>
    <w:rsid w:val="00632A99"/>
    <w:rPr>
      <w:sz w:val="26"/>
      <w:lang w:eastAsia="es-ES"/>
    </w:rPr>
  </w:style>
  <w:style w:type="paragraph" w:styleId="Prrafodelista">
    <w:name w:val="List Paragraph"/>
    <w:basedOn w:val="Normal"/>
    <w:uiPriority w:val="34"/>
    <w:qFormat/>
    <w:rsid w:val="00AD4A33"/>
    <w:pPr>
      <w:ind w:left="720"/>
    </w:pPr>
    <w:rPr>
      <w:rFonts w:ascii="Calibri" w:eastAsiaTheme="minorHAnsi" w:hAnsi="Calibri" w:cs="Calibri"/>
      <w:sz w:val="22"/>
      <w:szCs w:val="22"/>
      <w:lang w:eastAsia="en-US"/>
    </w:rPr>
  </w:style>
  <w:style w:type="character" w:styleId="Hipervnculo">
    <w:name w:val="Hyperlink"/>
    <w:basedOn w:val="Fuentedeprrafopredeter"/>
    <w:uiPriority w:val="99"/>
    <w:unhideWhenUsed/>
    <w:rsid w:val="00AD4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dena.navarra.es/navegar/%23ZXh0fGJhc2V8bWFwYWJhc2V8bGF5ZXJzfHV8Ly9pZGVuYS5uYXZhcnJhLmVzL29nYy93bXN8bnxzZW5hbENpbmVnZXRpY2F8b3x2fGh8dXJ8Znx0fElERU5BfGl8bGNhdC0xLTFeMV42MDQ5ODAuMTU1fDQ3MjUwODAuNDN8NjM1NTcyLjE1NXw0NzQwNjY0LjQzXiQwfEBJfEp8S3xMXXwxfDJ8M3xAJDR8NXw2fDd8OHxIfDl8LTF8QXwtMXxCfC01fEN8LTV8RHxFfEZ8R11dXQ==" TargetMode="External"/><Relationship Id="rId3" Type="http://schemas.openxmlformats.org/officeDocument/2006/relationships/settings" Target="settings.xml"/><Relationship Id="rId7" Type="http://schemas.openxmlformats.org/officeDocument/2006/relationships/hyperlink" Target="https://datosabiertos.navarra.es/dataset/spasitnainfrae_sym_senalfauna-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1300</Words>
  <Characters>7154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2015-10-05T06:52:00Z</cp:lastPrinted>
  <dcterms:created xsi:type="dcterms:W3CDTF">2025-02-06T09:36:00Z</dcterms:created>
  <dcterms:modified xsi:type="dcterms:W3CDTF">2025-03-18T09:23:00Z</dcterms:modified>
</cp:coreProperties>
</file>