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A83B" w14:textId="1465F392" w:rsidR="0015660B" w:rsidRPr="00AC3E12" w:rsidRDefault="001F34F3" w:rsidP="0015660B">
      <w:pPr>
        <w:pStyle w:val="Default"/>
        <w:jc w:val="both"/>
        <w:rPr>
          <w:rFonts w:ascii="Calibri" w:hAnsi="Calibri" w:cs="Calibri"/>
          <w:sz w:val="22"/>
          <w:szCs w:val="22"/>
        </w:rPr>
      </w:pPr>
      <w:r w:rsidRPr="00AC3E12">
        <w:rPr>
          <w:rFonts w:ascii="Calibri" w:hAnsi="Calibri" w:cs="Calibri"/>
          <w:sz w:val="22"/>
          <w:szCs w:val="22"/>
        </w:rPr>
        <w:t>El</w:t>
      </w:r>
      <w:r w:rsidR="005D3701" w:rsidRPr="00AC3E12">
        <w:rPr>
          <w:rFonts w:ascii="Calibri" w:hAnsi="Calibri" w:cs="Calibri"/>
          <w:sz w:val="22"/>
          <w:szCs w:val="22"/>
        </w:rPr>
        <w:t xml:space="preserve"> Consejero de </w:t>
      </w:r>
      <w:r w:rsidRPr="00AC3E12">
        <w:rPr>
          <w:rFonts w:ascii="Calibri" w:hAnsi="Calibri" w:cs="Calibri"/>
          <w:sz w:val="22"/>
          <w:szCs w:val="22"/>
        </w:rPr>
        <w:t>Industria y de Transición Ecológica y Digital Empresarial</w:t>
      </w:r>
      <w:r w:rsidR="005D3701" w:rsidRPr="00AC3E12">
        <w:rPr>
          <w:rFonts w:ascii="Calibri" w:hAnsi="Calibri" w:cs="Calibri"/>
          <w:sz w:val="22"/>
          <w:szCs w:val="22"/>
        </w:rPr>
        <w:t xml:space="preserve"> del Gobierno de Navarra, </w:t>
      </w:r>
      <w:r w:rsidR="007C0BA1" w:rsidRPr="00AC3E12">
        <w:rPr>
          <w:rFonts w:ascii="Calibri" w:hAnsi="Calibri" w:cs="Calibri"/>
          <w:sz w:val="22"/>
          <w:szCs w:val="22"/>
        </w:rPr>
        <w:t xml:space="preserve">en relación con la </w:t>
      </w:r>
      <w:r w:rsidR="005C57FC" w:rsidRPr="00AC3E12">
        <w:rPr>
          <w:rFonts w:ascii="Calibri" w:hAnsi="Calibri" w:cs="Calibri"/>
          <w:sz w:val="22"/>
          <w:szCs w:val="22"/>
        </w:rPr>
        <w:t xml:space="preserve">pregunta para su contestación por escrito formulada por </w:t>
      </w:r>
      <w:r w:rsidR="00306888" w:rsidRPr="00AC3E12">
        <w:rPr>
          <w:rFonts w:ascii="Calibri" w:hAnsi="Calibri" w:cs="Calibri"/>
          <w:sz w:val="22"/>
          <w:szCs w:val="22"/>
        </w:rPr>
        <w:t>la Parlamentari</w:t>
      </w:r>
      <w:r w:rsidRPr="00AC3E12">
        <w:rPr>
          <w:rFonts w:ascii="Calibri" w:hAnsi="Calibri" w:cs="Calibri"/>
          <w:sz w:val="22"/>
          <w:szCs w:val="22"/>
        </w:rPr>
        <w:t>a Foral</w:t>
      </w:r>
      <w:r w:rsidR="00306888" w:rsidRPr="00AC3E12">
        <w:rPr>
          <w:rFonts w:ascii="Calibri" w:hAnsi="Calibri" w:cs="Calibri"/>
          <w:sz w:val="22"/>
          <w:szCs w:val="22"/>
        </w:rPr>
        <w:t xml:space="preserve"> Ilma. Sra. </w:t>
      </w:r>
      <w:r w:rsidR="00005CB6" w:rsidRPr="00AC3E12">
        <w:rPr>
          <w:rFonts w:ascii="Calibri" w:hAnsi="Calibri" w:cs="Calibri"/>
          <w:sz w:val="22"/>
          <w:szCs w:val="22"/>
        </w:rPr>
        <w:t>D.ª</w:t>
      </w:r>
      <w:r w:rsidR="00306888" w:rsidRPr="00AC3E12">
        <w:rPr>
          <w:rFonts w:ascii="Calibri" w:hAnsi="Calibri" w:cs="Calibri"/>
          <w:sz w:val="22"/>
          <w:szCs w:val="22"/>
        </w:rPr>
        <w:t xml:space="preserve"> </w:t>
      </w:r>
      <w:r w:rsidR="00DF138C" w:rsidRPr="00AC3E12">
        <w:rPr>
          <w:rFonts w:ascii="Calibri" w:hAnsi="Calibri" w:cs="Calibri"/>
          <w:sz w:val="22"/>
          <w:szCs w:val="22"/>
        </w:rPr>
        <w:t>Marta Álvarez Alonso</w:t>
      </w:r>
      <w:r w:rsidR="005D3701" w:rsidRPr="00AC3E12">
        <w:rPr>
          <w:rFonts w:ascii="Calibri" w:hAnsi="Calibri" w:cs="Calibri"/>
          <w:sz w:val="22"/>
          <w:szCs w:val="22"/>
        </w:rPr>
        <w:t xml:space="preserve"> ad</w:t>
      </w:r>
      <w:r w:rsidR="00157B5E" w:rsidRPr="00AC3E12">
        <w:rPr>
          <w:rFonts w:ascii="Calibri" w:hAnsi="Calibri" w:cs="Calibri"/>
          <w:sz w:val="22"/>
          <w:szCs w:val="22"/>
        </w:rPr>
        <w:t>s</w:t>
      </w:r>
      <w:r w:rsidR="003F3663" w:rsidRPr="00AC3E12">
        <w:rPr>
          <w:rFonts w:ascii="Calibri" w:hAnsi="Calibri" w:cs="Calibri"/>
          <w:sz w:val="22"/>
          <w:szCs w:val="22"/>
        </w:rPr>
        <w:t>crita</w:t>
      </w:r>
      <w:r w:rsidR="005D3701" w:rsidRPr="00AC3E12">
        <w:rPr>
          <w:rFonts w:ascii="Calibri" w:hAnsi="Calibri" w:cs="Calibri"/>
          <w:sz w:val="22"/>
          <w:szCs w:val="22"/>
        </w:rPr>
        <w:t xml:space="preserve"> al Grupo Parlamentario “</w:t>
      </w:r>
      <w:r w:rsidR="00DF138C" w:rsidRPr="00AC3E12">
        <w:rPr>
          <w:rFonts w:ascii="Calibri" w:hAnsi="Calibri" w:cs="Calibri"/>
          <w:sz w:val="22"/>
          <w:szCs w:val="22"/>
        </w:rPr>
        <w:t>Unión del Pueblo Navarro (UPN)</w:t>
      </w:r>
      <w:r w:rsidR="005D3701" w:rsidRPr="00AC3E12">
        <w:rPr>
          <w:rFonts w:ascii="Calibri" w:hAnsi="Calibri" w:cs="Calibri"/>
          <w:sz w:val="22"/>
          <w:szCs w:val="22"/>
        </w:rPr>
        <w:t xml:space="preserve">”, </w:t>
      </w:r>
      <w:r w:rsidR="00005CB6" w:rsidRPr="00AC3E12">
        <w:rPr>
          <w:rFonts w:ascii="Calibri" w:hAnsi="Calibri" w:cs="Calibri"/>
          <w:sz w:val="22"/>
          <w:szCs w:val="22"/>
        </w:rPr>
        <w:t xml:space="preserve">sobre </w:t>
      </w:r>
      <w:r w:rsidR="00DB0413" w:rsidRPr="00AC3E12">
        <w:rPr>
          <w:rFonts w:ascii="Calibri" w:hAnsi="Calibri" w:cs="Calibri"/>
          <w:sz w:val="22"/>
          <w:szCs w:val="22"/>
        </w:rPr>
        <w:t xml:space="preserve">el IVA repercutido a Albyn Medical </w:t>
      </w:r>
      <w:r w:rsidR="005D3701" w:rsidRPr="00AC3E12">
        <w:rPr>
          <w:rFonts w:ascii="Calibri" w:hAnsi="Calibri" w:cs="Calibri"/>
          <w:sz w:val="22"/>
          <w:szCs w:val="22"/>
        </w:rPr>
        <w:t>(</w:t>
      </w:r>
      <w:r w:rsidR="006E1A20" w:rsidRPr="00AC3E12">
        <w:rPr>
          <w:rFonts w:ascii="Calibri" w:hAnsi="Calibri" w:cs="Calibri"/>
          <w:sz w:val="22"/>
          <w:szCs w:val="22"/>
        </w:rPr>
        <w:fldChar w:fldCharType="begin">
          <w:ffData>
            <w:name w:val="Texto5"/>
            <w:enabled/>
            <w:calcOnExit w:val="0"/>
            <w:textInput/>
          </w:ffData>
        </w:fldChar>
      </w:r>
      <w:bookmarkStart w:id="0" w:name="Texto5"/>
      <w:r w:rsidR="006E1A20" w:rsidRPr="00AC3E12">
        <w:rPr>
          <w:rFonts w:ascii="Calibri" w:hAnsi="Calibri" w:cs="Calibri"/>
          <w:sz w:val="22"/>
          <w:szCs w:val="22"/>
        </w:rPr>
        <w:instrText xml:space="preserve"> FORMTEXT </w:instrText>
      </w:r>
      <w:r w:rsidR="006E1A20" w:rsidRPr="00AC3E12">
        <w:rPr>
          <w:rFonts w:ascii="Calibri" w:hAnsi="Calibri" w:cs="Calibri"/>
          <w:sz w:val="22"/>
          <w:szCs w:val="22"/>
        </w:rPr>
      </w:r>
      <w:r w:rsidR="006E1A20" w:rsidRPr="00AC3E12">
        <w:rPr>
          <w:rFonts w:ascii="Calibri" w:hAnsi="Calibri" w:cs="Calibri"/>
          <w:sz w:val="22"/>
          <w:szCs w:val="22"/>
        </w:rPr>
        <w:fldChar w:fldCharType="separate"/>
      </w:r>
      <w:r w:rsidR="006E1A20" w:rsidRPr="00AC3E12">
        <w:rPr>
          <w:rFonts w:ascii="Calibri" w:hAnsi="Calibri" w:cs="Calibri"/>
          <w:sz w:val="22"/>
          <w:szCs w:val="22"/>
        </w:rPr>
        <w:fldChar w:fldCharType="end"/>
      </w:r>
      <w:bookmarkEnd w:id="0"/>
      <w:r w:rsidR="00BB4969" w:rsidRPr="00AC3E12">
        <w:rPr>
          <w:rFonts w:ascii="Calibri" w:hAnsi="Calibri" w:cs="Calibri"/>
          <w:sz w:val="22"/>
          <w:szCs w:val="22"/>
        </w:rPr>
        <w:t>11-</w:t>
      </w:r>
      <w:r w:rsidR="00DB0413" w:rsidRPr="00AC3E12">
        <w:rPr>
          <w:rFonts w:ascii="Calibri" w:hAnsi="Calibri" w:cs="Calibri"/>
          <w:sz w:val="22"/>
          <w:szCs w:val="22"/>
        </w:rPr>
        <w:t>25/PES-00091</w:t>
      </w:r>
      <w:r w:rsidR="005D3701" w:rsidRPr="00AC3E12">
        <w:rPr>
          <w:rFonts w:ascii="Calibri" w:hAnsi="Calibri" w:cs="Calibri"/>
          <w:sz w:val="22"/>
          <w:szCs w:val="22"/>
        </w:rPr>
        <w:t>)</w:t>
      </w:r>
      <w:r w:rsidR="007C0BA1" w:rsidRPr="00AC3E12">
        <w:rPr>
          <w:rFonts w:ascii="Calibri" w:hAnsi="Calibri" w:cs="Calibri"/>
          <w:sz w:val="22"/>
          <w:szCs w:val="22"/>
        </w:rPr>
        <w:t>”</w:t>
      </w:r>
      <w:r w:rsidR="005C57FC" w:rsidRPr="00AC3E12">
        <w:rPr>
          <w:rFonts w:ascii="Calibri" w:hAnsi="Calibri" w:cs="Calibri"/>
          <w:sz w:val="22"/>
          <w:szCs w:val="22"/>
        </w:rPr>
        <w:t xml:space="preserve">, </w:t>
      </w:r>
      <w:r w:rsidR="00E55333" w:rsidRPr="00AC3E12">
        <w:rPr>
          <w:rFonts w:ascii="Calibri" w:hAnsi="Calibri" w:cs="Calibri"/>
          <w:sz w:val="22"/>
          <w:szCs w:val="22"/>
        </w:rPr>
        <w:t xml:space="preserve">informa lo </w:t>
      </w:r>
      <w:r w:rsidR="009A0F11" w:rsidRPr="00AC3E12">
        <w:rPr>
          <w:rFonts w:ascii="Calibri" w:hAnsi="Calibri" w:cs="Calibri"/>
          <w:sz w:val="22"/>
          <w:szCs w:val="22"/>
        </w:rPr>
        <w:t>siguiente</w:t>
      </w:r>
      <w:r w:rsidR="005C57FC" w:rsidRPr="00AC3E12">
        <w:rPr>
          <w:rFonts w:ascii="Calibri" w:hAnsi="Calibri" w:cs="Calibri"/>
          <w:sz w:val="22"/>
          <w:szCs w:val="22"/>
        </w:rPr>
        <w:t>:</w:t>
      </w:r>
    </w:p>
    <w:p w14:paraId="7579969C" w14:textId="0576EE50" w:rsidR="00DB0413" w:rsidRPr="00AC3E12" w:rsidRDefault="00DB0413" w:rsidP="00AC3E12">
      <w:pPr>
        <w:pStyle w:val="Default"/>
        <w:jc w:val="both"/>
        <w:rPr>
          <w:rFonts w:ascii="Calibri" w:hAnsi="Calibri" w:cs="Calibri"/>
          <w:sz w:val="22"/>
          <w:szCs w:val="22"/>
        </w:rPr>
      </w:pPr>
      <w:r w:rsidRPr="00AC3E12">
        <w:rPr>
          <w:rFonts w:ascii="Calibri" w:hAnsi="Calibri" w:cs="Calibri"/>
          <w:sz w:val="22"/>
          <w:szCs w:val="22"/>
        </w:rPr>
        <w:t>En el Acuerdo para la liquidación amistosa y definitiva del vínculo entre SODENA y Albyn Medical nacido en virtud del Acuerdo de colaboración y apoyo financiero para la adquisición de EPIs en la pandemia para pymes, micropymes y personal autónomo” firmado entre SODENA, CEN y Albyn Medical, se señala en su punto 1 i) de las estipulaciones que ALBYN MEDICAL pagará a a SODENA la cantidad de 136.338 euros, equivalente al IVA de los EPIs adquiridos por ALBYN MEDICAL en ejecución del Acuerdo y que ALBYN MEDICAL se dedujo, minorado por el importe de IVA repercutido por ALBYN MEDICAL a terceros correspondiente a la transmisión de EPIs.</w:t>
      </w:r>
    </w:p>
    <w:p w14:paraId="451CA8AD" w14:textId="3EA13453"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1. ¿Cuál es la cuantía que había en esa cuenta antes de la realización de la transferencia a la que se refiere el segundo párrafo de dicho punto?</w:t>
      </w:r>
    </w:p>
    <w:p w14:paraId="7F598E63" w14:textId="49613602"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34 euros</w:t>
      </w:r>
    </w:p>
    <w:p w14:paraId="2359BC86" w14:textId="3161CD1C"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2. ¿Qué cuantía quedó después de la transferencia?</w:t>
      </w:r>
    </w:p>
    <w:p w14:paraId="1D8F3ECB" w14:textId="1006719C"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136.372,03 EUROS</w:t>
      </w:r>
    </w:p>
    <w:p w14:paraId="1C2C4420" w14:textId="62411741"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3. ¿Sigue abierta dicha cuenta? Si sigue abierta, ¿qué cuantía tiene? Si no lo está ¿En qué fecha se cerró y cómo se liquidaron las cantidades que había?</w:t>
      </w:r>
    </w:p>
    <w:p w14:paraId="165FEE66" w14:textId="7626118B"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La cuenta se cerró el 23 de mayo de 2023 y las cantidades se habían ido traspasando a la cuenta de Sodena de Caixabank quedando un saldo final de 22,03 euros que también fue traspasado en el momento de la liquidación.</w:t>
      </w:r>
    </w:p>
    <w:p w14:paraId="13BE25EF" w14:textId="2D7C0825"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 xml:space="preserve">Se adjunta detalle de dichas liquidaciones como anexo. </w:t>
      </w:r>
    </w:p>
    <w:p w14:paraId="2A8DAC6D" w14:textId="0A5136A8"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4. ¿Cuál es el motivo por el que estaba en una cuenta común entre SODENA y Albyn Medical el dinero que se había deducido Albyn Medical por la compra de las mascarillas?</w:t>
      </w:r>
    </w:p>
    <w:p w14:paraId="19B400DF" w14:textId="68AA7BE2"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Se recoge así en el acuerdo inicial en la cláusula segunda del "Acuerdo de colaboración y apoyo financiero puente para la adquisición de material de protección (EPI) para pymes, micropymes y personal autónomo” de fecha 7 de mayo de 2020. Se recomendó para una mejor operativa y tenía el compromiso de las partes de utilizarlo única y exclusivamente para las operaciones del acuerdo, contemplándose en esta misma cláusula la cancelación mencionada en la pregunta anterior.</w:t>
      </w:r>
    </w:p>
    <w:p w14:paraId="66E334EB" w14:textId="13B8B8F7"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5. ¿Cuál es el motivo por el que SODENA ha considerado que la cantidad de IVA que se había deducido Albyn Medical -minorado en la cantidad repercutida a terceros por la transmisión de EPIS- representa una pérdida económica para SODENA que tiene que ser compensada?</w:t>
      </w:r>
    </w:p>
    <w:p w14:paraId="7404CA47" w14:textId="309C8C6F"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En el acuerdo liquidatorio suscrito con Albyn Medical no se considera que la cantidad de 136.338 euros, “equivalente al IVA de los EPIs adquiridos por ALBYN MEDICAL en ejecución del Acuerdo y que ALBYN MEDICAL se dedujo, minorado por el importe de IVA repercutido por ALBYN MEDICAL a terceros correspondiente a la transmisión de EPIs”, constituya una pérdida económica para Sodena que deba ser compensada. Se trata de uno de los importes que Albyn Medical se comprometió a pagar a Sodena como forma de participar en la pérdida económica generada por el proyecto. Y así lo indica también el “Informe de fiscalización sobre el acuerdo de colaboración y apoyo financiero para la adquisición de EPIs para pymes, micropymes y personal autónomo en la pandemia” elaborado por la Cámara de Comptos de Navarra de fecha 16 de diciembre de 2022 en su página 23 cuando dice que esta cantidad habrá de tenerse en cuenta en la regulación que se haga en su caso de la financiación entre Sodena y Albyn.</w:t>
      </w:r>
    </w:p>
    <w:p w14:paraId="4CDCCE01" w14:textId="00C45AB7" w:rsidR="00DB0413" w:rsidRPr="00AC3E12" w:rsidRDefault="00DB0413" w:rsidP="00DB0413">
      <w:pPr>
        <w:pStyle w:val="Default"/>
        <w:jc w:val="both"/>
        <w:rPr>
          <w:rFonts w:ascii="Calibri" w:hAnsi="Calibri" w:cs="Calibri"/>
          <w:sz w:val="22"/>
          <w:szCs w:val="22"/>
        </w:rPr>
      </w:pPr>
      <w:r w:rsidRPr="00AC3E12">
        <w:rPr>
          <w:rFonts w:ascii="Calibri" w:hAnsi="Calibri" w:cs="Calibri"/>
          <w:sz w:val="22"/>
          <w:szCs w:val="22"/>
        </w:rPr>
        <w:t>6. ¿Es ésta la decisión habitual para casos similares en los que lo deducido no se ha podido repercutir por no haber podido vender lo comprado?</w:t>
      </w:r>
    </w:p>
    <w:p w14:paraId="6AA36D2F" w14:textId="07D8D089" w:rsidR="00DB0413" w:rsidRPr="00AC3E12" w:rsidRDefault="00DB0413" w:rsidP="00AC3E12">
      <w:pPr>
        <w:pStyle w:val="Default"/>
        <w:jc w:val="both"/>
        <w:rPr>
          <w:rFonts w:ascii="Calibri" w:hAnsi="Calibri" w:cs="Calibri"/>
          <w:sz w:val="22"/>
          <w:szCs w:val="22"/>
        </w:rPr>
      </w:pPr>
      <w:r w:rsidRPr="00AC3E12">
        <w:rPr>
          <w:rFonts w:ascii="Calibri" w:hAnsi="Calibri" w:cs="Calibri"/>
          <w:sz w:val="22"/>
          <w:szCs w:val="22"/>
        </w:rPr>
        <w:t>No constan antecedentes similares</w:t>
      </w:r>
      <w:r w:rsidR="009E0B2F" w:rsidRPr="00AC3E12">
        <w:rPr>
          <w:rFonts w:ascii="Calibri" w:hAnsi="Calibri" w:cs="Calibri"/>
          <w:sz w:val="22"/>
          <w:szCs w:val="22"/>
        </w:rPr>
        <w:t>, por lo que no procede dar respuesta a esta pregunta</w:t>
      </w:r>
      <w:r w:rsidRPr="00AC3E12">
        <w:rPr>
          <w:rFonts w:ascii="Calibri" w:hAnsi="Calibri" w:cs="Calibri"/>
          <w:sz w:val="22"/>
          <w:szCs w:val="22"/>
        </w:rPr>
        <w:t>.</w:t>
      </w:r>
    </w:p>
    <w:p w14:paraId="1CABED6B" w14:textId="0E955530" w:rsidR="0015660B" w:rsidRPr="00AC3E12" w:rsidRDefault="004F49E6" w:rsidP="00AC3E12">
      <w:pPr>
        <w:pStyle w:val="Default"/>
        <w:jc w:val="both"/>
        <w:rPr>
          <w:rFonts w:ascii="Calibri" w:hAnsi="Calibri" w:cs="Calibri"/>
          <w:sz w:val="22"/>
          <w:szCs w:val="22"/>
        </w:rPr>
      </w:pPr>
      <w:r w:rsidRPr="00AC3E12">
        <w:rPr>
          <w:rFonts w:ascii="Calibri" w:hAnsi="Calibri" w:cs="Calibri"/>
          <w:sz w:val="22"/>
          <w:szCs w:val="22"/>
        </w:rPr>
        <w:t xml:space="preserve">Es cuanto informo en cumplimiento de lo dispuesto en el artículo </w:t>
      </w:r>
      <w:r w:rsidR="003E7F77" w:rsidRPr="00AC3E12">
        <w:rPr>
          <w:rFonts w:ascii="Calibri" w:hAnsi="Calibri" w:cs="Calibri"/>
          <w:sz w:val="22"/>
          <w:szCs w:val="22"/>
        </w:rPr>
        <w:t>2</w:t>
      </w:r>
      <w:r w:rsidRPr="00AC3E12">
        <w:rPr>
          <w:rFonts w:ascii="Calibri" w:hAnsi="Calibri" w:cs="Calibri"/>
          <w:sz w:val="22"/>
          <w:szCs w:val="22"/>
        </w:rPr>
        <w:t>15 del Reglamento del Parlamento de Navarra.</w:t>
      </w:r>
      <w:r w:rsidR="00065A48">
        <w:rPr>
          <w:rFonts w:ascii="Calibri" w:hAnsi="Calibri" w:cs="Calibri"/>
          <w:sz w:val="22"/>
          <w:szCs w:val="22"/>
        </w:rPr>
        <w:t xml:space="preserve"> </w:t>
      </w:r>
    </w:p>
    <w:p w14:paraId="1ACC02B2" w14:textId="2EBC2162" w:rsidR="00AC3E12" w:rsidRDefault="007C0BA1" w:rsidP="00AC3E12">
      <w:pPr>
        <w:spacing w:line="360" w:lineRule="auto"/>
        <w:rPr>
          <w:rFonts w:ascii="Calibri" w:hAnsi="Calibri" w:cs="Calibri"/>
          <w:sz w:val="22"/>
          <w:szCs w:val="22"/>
        </w:rPr>
      </w:pPr>
      <w:r w:rsidRPr="00AC3E12">
        <w:rPr>
          <w:rFonts w:ascii="Calibri" w:hAnsi="Calibri" w:cs="Calibri"/>
          <w:sz w:val="22"/>
          <w:szCs w:val="22"/>
        </w:rPr>
        <w:lastRenderedPageBreak/>
        <w:t xml:space="preserve">Pamplona-Iruñea, </w:t>
      </w:r>
      <w:r w:rsidR="00AC3E12">
        <w:rPr>
          <w:rFonts w:ascii="Calibri" w:hAnsi="Calibri" w:cs="Calibri"/>
          <w:sz w:val="22"/>
          <w:szCs w:val="22"/>
        </w:rPr>
        <w:t>1</w:t>
      </w:r>
      <w:r w:rsidR="00422B1A">
        <w:rPr>
          <w:rFonts w:ascii="Calibri" w:hAnsi="Calibri" w:cs="Calibri"/>
          <w:sz w:val="22"/>
          <w:szCs w:val="22"/>
        </w:rPr>
        <w:t>8</w:t>
      </w:r>
      <w:r w:rsidR="00AC3E12">
        <w:rPr>
          <w:rFonts w:ascii="Calibri" w:hAnsi="Calibri" w:cs="Calibri"/>
          <w:sz w:val="22"/>
          <w:szCs w:val="22"/>
        </w:rPr>
        <w:t xml:space="preserve"> de marzo de 2025</w:t>
      </w:r>
    </w:p>
    <w:p w14:paraId="6CF7BE4D" w14:textId="495EC99C" w:rsidR="00924421" w:rsidRDefault="00AC3E12" w:rsidP="00AC3E12">
      <w:pPr>
        <w:spacing w:line="360" w:lineRule="auto"/>
        <w:rPr>
          <w:rFonts w:ascii="Calibri" w:hAnsi="Calibri" w:cs="Calibri"/>
          <w:sz w:val="22"/>
          <w:szCs w:val="22"/>
        </w:rPr>
      </w:pPr>
      <w:r w:rsidRPr="00AC3E12">
        <w:rPr>
          <w:rFonts w:ascii="Calibri" w:hAnsi="Calibri" w:cs="Calibri"/>
          <w:sz w:val="22"/>
          <w:szCs w:val="22"/>
        </w:rPr>
        <w:t xml:space="preserve">El Consejero de Industria y de Transición Ecológica y Digital Empresarial: </w:t>
      </w:r>
      <w:r w:rsidR="00206E77" w:rsidRPr="00AC3E12">
        <w:rPr>
          <w:rFonts w:ascii="Calibri" w:hAnsi="Calibri" w:cs="Calibri"/>
          <w:sz w:val="22"/>
          <w:szCs w:val="22"/>
        </w:rPr>
        <w:t>Mikel Irujo Amezaga</w:t>
      </w:r>
    </w:p>
    <w:p w14:paraId="694E02F7" w14:textId="2E858389" w:rsidR="00AC3E12" w:rsidRPr="007A3C65" w:rsidRDefault="00AC3E12" w:rsidP="007A3C65">
      <w:pPr>
        <w:rPr>
          <w:rFonts w:ascii="Times New (W1)" w:hAnsi="Times New (W1)"/>
        </w:rPr>
      </w:pPr>
      <w:r>
        <w:rPr>
          <w:rFonts w:ascii="Times New (W1)" w:hAnsi="Times New (W1)"/>
        </w:rPr>
        <w:t xml:space="preserve">(Nota: </w:t>
      </w:r>
      <w:r>
        <w:t xml:space="preserve">Los anexos mencionados se encuentran a disposición de los Parlamentarios y las Parlamentarias Forales </w:t>
      </w:r>
      <w:r>
        <w:rPr>
          <w:rFonts w:ascii="Times New (W1)" w:hAnsi="Times New (W1)"/>
        </w:rPr>
        <w:t>en Gestión Parlamentaria Ágora).</w:t>
      </w:r>
    </w:p>
    <w:sectPr w:rsidR="00AC3E12" w:rsidRPr="007A3C65"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C2DF" w14:textId="77777777" w:rsidR="00514EEB" w:rsidRDefault="00514EEB" w:rsidP="00805581">
      <w:r>
        <w:separator/>
      </w:r>
    </w:p>
  </w:endnote>
  <w:endnote w:type="continuationSeparator" w:id="0">
    <w:p w14:paraId="4E1F9CAD" w14:textId="77777777" w:rsidR="00514EEB" w:rsidRDefault="00514EEB"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egoe UI Symbol"/>
    <w:charset w:val="00"/>
    <w:family w:val="roman"/>
    <w:pitch w:val="variable"/>
    <w:sig w:usb0="00000001"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75DF" w14:textId="77777777" w:rsidR="00514EEB" w:rsidRDefault="00514EEB" w:rsidP="00805581">
      <w:r>
        <w:separator/>
      </w:r>
    </w:p>
  </w:footnote>
  <w:footnote w:type="continuationSeparator" w:id="0">
    <w:p w14:paraId="29E33EAA" w14:textId="77777777" w:rsidR="00514EEB" w:rsidRDefault="00514EEB"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94338587">
    <w:abstractNumId w:val="1"/>
  </w:num>
  <w:num w:numId="2" w16cid:durableId="940913468">
    <w:abstractNumId w:val="0"/>
  </w:num>
  <w:num w:numId="3" w16cid:durableId="1132095528">
    <w:abstractNumId w:val="3"/>
  </w:num>
  <w:num w:numId="4" w16cid:durableId="52513012">
    <w:abstractNumId w:val="2"/>
  </w:num>
  <w:num w:numId="5" w16cid:durableId="203425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47242"/>
    <w:rsid w:val="00061227"/>
    <w:rsid w:val="00061978"/>
    <w:rsid w:val="00065A4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66908"/>
    <w:rsid w:val="00377151"/>
    <w:rsid w:val="003A0CE7"/>
    <w:rsid w:val="003E7603"/>
    <w:rsid w:val="003E7F77"/>
    <w:rsid w:val="003F3663"/>
    <w:rsid w:val="0040150F"/>
    <w:rsid w:val="00422B1A"/>
    <w:rsid w:val="00462CA9"/>
    <w:rsid w:val="00491B64"/>
    <w:rsid w:val="004B5C04"/>
    <w:rsid w:val="004C3705"/>
    <w:rsid w:val="004F49E6"/>
    <w:rsid w:val="0051134D"/>
    <w:rsid w:val="00514EEB"/>
    <w:rsid w:val="0055338A"/>
    <w:rsid w:val="00564CC7"/>
    <w:rsid w:val="005C1FDF"/>
    <w:rsid w:val="005C36E7"/>
    <w:rsid w:val="005C57FC"/>
    <w:rsid w:val="005D3701"/>
    <w:rsid w:val="005E442E"/>
    <w:rsid w:val="005F4AD6"/>
    <w:rsid w:val="00624CE2"/>
    <w:rsid w:val="00632DDC"/>
    <w:rsid w:val="006360EF"/>
    <w:rsid w:val="00654E5C"/>
    <w:rsid w:val="006E1A20"/>
    <w:rsid w:val="006E3AC8"/>
    <w:rsid w:val="007019AA"/>
    <w:rsid w:val="00730366"/>
    <w:rsid w:val="007A3C65"/>
    <w:rsid w:val="007B5B6D"/>
    <w:rsid w:val="007C0BA1"/>
    <w:rsid w:val="00800A18"/>
    <w:rsid w:val="0080180E"/>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701BE"/>
    <w:rsid w:val="00AC3E12"/>
    <w:rsid w:val="00B14F8A"/>
    <w:rsid w:val="00B368D1"/>
    <w:rsid w:val="00B55C6B"/>
    <w:rsid w:val="00B677B2"/>
    <w:rsid w:val="00B7603A"/>
    <w:rsid w:val="00B919AD"/>
    <w:rsid w:val="00B95259"/>
    <w:rsid w:val="00BA0FC9"/>
    <w:rsid w:val="00BB4969"/>
    <w:rsid w:val="00BD62C4"/>
    <w:rsid w:val="00BE06A8"/>
    <w:rsid w:val="00BE4176"/>
    <w:rsid w:val="00C01890"/>
    <w:rsid w:val="00C02A51"/>
    <w:rsid w:val="00C33000"/>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DC704"/>
  <w15:chartTrackingRefBased/>
  <w15:docId w15:val="{C45776C3-DB74-4012-8652-612B76C0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s-ES_tradnl"/>
    </w:rPr>
  </w:style>
  <w:style w:type="paragraph" w:styleId="Prrafodelista">
    <w:name w:val="List Paragraph"/>
    <w:basedOn w:val="Normal"/>
    <w:link w:val="PrrafodelistaCar"/>
    <w:uiPriority w:val="34"/>
    <w:qFormat/>
    <w:rsid w:val="00366908"/>
    <w:pPr>
      <w:ind w:left="720"/>
      <w:contextualSpacing/>
    </w:pPr>
    <w:rPr>
      <w:sz w:val="24"/>
      <w:szCs w:val="24"/>
      <w:lang w:val="es-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_tradnl"/>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4502-E89E-4A1A-9B96-8C51D4EF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Mauleón, Fernando</cp:lastModifiedBy>
  <cp:revision>6</cp:revision>
  <cp:lastPrinted>2025-01-14T08:04:00Z</cp:lastPrinted>
  <dcterms:created xsi:type="dcterms:W3CDTF">2025-04-26T10:10:00Z</dcterms:created>
  <dcterms:modified xsi:type="dcterms:W3CDTF">2025-04-28T07:55:00Z</dcterms:modified>
</cp:coreProperties>
</file>