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3D52" w14:textId="51A3B36A" w:rsidR="00B065BA" w:rsidRPr="0094513D" w:rsidRDefault="0094513D" w:rsidP="0094513D">
      <w:pPr>
        <w:jc w:val="both"/>
        <w:rPr>
          <w:rFonts w:ascii="Calibri" w:hAnsi="Calibri" w:cs="Calibri"/>
        </w:rPr>
      </w:pPr>
      <w:r>
        <w:rPr>
          <w:rFonts w:ascii="Calibri" w:hAnsi="Calibri"/>
        </w:rPr>
        <w:t>25MOC-82</w:t>
      </w:r>
    </w:p>
    <w:p w14:paraId="38A4D021" w14:textId="77777777" w:rsidR="0094513D" w:rsidRPr="0094513D" w:rsidRDefault="0094513D" w:rsidP="0094513D">
      <w:pPr>
        <w:jc w:val="both"/>
        <w:rPr>
          <w:rFonts w:ascii="Calibri" w:hAnsi="Calibri" w:cs="Calibri"/>
        </w:rPr>
      </w:pPr>
      <w:r>
        <w:rPr>
          <w:rFonts w:ascii="Calibri" w:hAnsi="Calibri"/>
        </w:rPr>
        <w:t>EH Bildu Nafarroa talde parlamentarioari atxikitako foru parlamentari Javier Arza Porrasek, Legebiltzarreko Erregelamenduan ezarritakoaren babesean, honako mozio hau aurkezten du, Nafarroako Parlamentuaren Osoko Bilkuran eztabaidatu eta bozkatzeko.</w:t>
      </w:r>
    </w:p>
    <w:p w14:paraId="145CA812" w14:textId="6EBFEF64" w:rsidR="0094513D" w:rsidRPr="0094513D" w:rsidRDefault="0094513D" w:rsidP="0094513D">
      <w:pPr>
        <w:jc w:val="both"/>
        <w:rPr>
          <w:rFonts w:ascii="Calibri" w:hAnsi="Calibri" w:cs="Calibri"/>
        </w:rPr>
      </w:pPr>
      <w:r>
        <w:rPr>
          <w:rFonts w:ascii="Calibri" w:hAnsi="Calibri"/>
        </w:rPr>
        <w:t>Zioen azalpena</w:t>
      </w:r>
    </w:p>
    <w:p w14:paraId="283E6BC0" w14:textId="77777777" w:rsidR="0094513D" w:rsidRPr="0094513D" w:rsidRDefault="0094513D" w:rsidP="0094513D">
      <w:pPr>
        <w:jc w:val="both"/>
        <w:rPr>
          <w:rFonts w:ascii="Calibri" w:hAnsi="Calibri" w:cs="Calibri"/>
        </w:rPr>
      </w:pPr>
      <w:r>
        <w:rPr>
          <w:rFonts w:ascii="Calibri" w:hAnsi="Calibri"/>
        </w:rPr>
        <w:t>Atzerritarrei buruzko Erregelamendu berria , 2024ko azaroaren 19ko 1155/2024 Errege-dekretuaren bidez onetsia, maiatzaren 20an sartu zen indarrean. Hori aplikatzeak onura batzuk ekar litzake, hala nola berritzeko izapideak sinplifikatzea edo errotzeko behar den denbora murriztea. Hala ere, nazioarteko babesa eskatzen duten pertsonek eskubideak galtzea ere eragin dezake. Hala, erregelamendu horrek honako neurri hauek ezartzen ditu:</w:t>
      </w:r>
    </w:p>
    <w:p w14:paraId="2D7C01A1" w14:textId="77777777" w:rsidR="0094513D" w:rsidRPr="0094513D" w:rsidRDefault="0094513D" w:rsidP="0094513D">
      <w:pPr>
        <w:jc w:val="both"/>
        <w:rPr>
          <w:rFonts w:ascii="Calibri" w:hAnsi="Calibri" w:cs="Calibri"/>
        </w:rPr>
      </w:pPr>
      <w:r>
        <w:rPr>
          <w:rFonts w:ascii="Calibri" w:hAnsi="Calibri"/>
        </w:rPr>
        <w:t>• Nazioarteko babesa eskatzen duten pertsonek, beren eskaerari ezezko erantzuna ematen bazaio, errotzea frogatzeari begira ezin izanen dute kontuan hartu herrialdean bizi izan diren denbora guztia. Horregatik, irregulartasun-egoeran egonen lirateke 2 urtez, beren egoera erregularizatzeko eskatu aitzin.</w:t>
      </w:r>
    </w:p>
    <w:p w14:paraId="21C6FDC0" w14:textId="77777777" w:rsidR="0094513D" w:rsidRPr="0094513D" w:rsidRDefault="0094513D" w:rsidP="0094513D">
      <w:pPr>
        <w:jc w:val="both"/>
        <w:rPr>
          <w:rFonts w:ascii="Calibri" w:hAnsi="Calibri" w:cs="Calibri"/>
        </w:rPr>
      </w:pPr>
      <w:r>
        <w:rPr>
          <w:rFonts w:ascii="Calibri" w:hAnsi="Calibri"/>
        </w:rPr>
        <w:t>• Nazioarteko babesaren eskaerari uko egitea eta hura uztea erabakitzen duten pertsonek ere 6 hilabete egin beharko lituzkete egoera irregularrean, erregularizazioa eskatu aitzin.</w:t>
      </w:r>
    </w:p>
    <w:p w14:paraId="360874FE" w14:textId="77777777" w:rsidR="0094513D" w:rsidRPr="0094513D" w:rsidRDefault="0094513D" w:rsidP="0094513D">
      <w:pPr>
        <w:jc w:val="both"/>
        <w:rPr>
          <w:rFonts w:ascii="Calibri" w:hAnsi="Calibri" w:cs="Calibri"/>
        </w:rPr>
      </w:pPr>
      <w:r>
        <w:rPr>
          <w:rFonts w:ascii="Calibri" w:hAnsi="Calibri"/>
        </w:rPr>
        <w:t>2024. urtearen amaieran, ia 250.000 pertsona zeuden nazioarteko babes-eskaeraren erantzunaren zain. Beraz, pertsona asko dira egoera irregularrean daudenen zerrenda luzea handitu dezaketenak, hau da, enplegu bat lortu ezin duten edo herritar-eskubideak mugatuta dituztenen zerrenda luzea.</w:t>
      </w:r>
    </w:p>
    <w:p w14:paraId="3988A5DC" w14:textId="6E64F63F" w:rsidR="0094513D" w:rsidRPr="0094513D" w:rsidRDefault="0094513D" w:rsidP="0094513D">
      <w:pPr>
        <w:jc w:val="both"/>
        <w:rPr>
          <w:rFonts w:ascii="Calibri" w:hAnsi="Calibri" w:cs="Calibri"/>
        </w:rPr>
      </w:pPr>
      <w:r>
        <w:rPr>
          <w:rFonts w:ascii="Calibri" w:hAnsi="Calibri"/>
        </w:rPr>
        <w:t>Gauzak horrela, zenbait erakunde sozial eta sindikalek kritikatu dute erregelamendu berriak, 126.b artikuluak eta bosgarren xedapen iragankorrak bereziki, nazioarteko babesa eskatzen duten pertsonen eskubideetan izanen lukeen eragin negatiboa. Adibidez, Caritasek, Red Acogek, Andaluzia Acogek, CEARek eta Migratzaileentzako Jesulagunen Zerbitzuak administrazioarekiko auzi-errekurtsoa aurkeztu zuten urtarrilaren 20an Auzitegi Gorenean. Halaber, Giza Eskubideen aldeko Elkarteak, Auzoen Koordinatzaileak eta immigrazioan espezializatutako abokatuen elkarteak bigarren errekurtso bat aurkeztu zuten.</w:t>
      </w:r>
    </w:p>
    <w:p w14:paraId="56C09E7C" w14:textId="77777777" w:rsidR="0094513D" w:rsidRPr="0094513D" w:rsidRDefault="0094513D" w:rsidP="0094513D">
      <w:pPr>
        <w:jc w:val="both"/>
        <w:rPr>
          <w:rFonts w:ascii="Calibri" w:hAnsi="Calibri" w:cs="Calibri"/>
        </w:rPr>
      </w:pPr>
      <w:r>
        <w:rPr>
          <w:rFonts w:ascii="Calibri" w:hAnsi="Calibri"/>
        </w:rPr>
        <w:t>Estatuko Gobernuak berak aitortu du atzerritarrei buruzko erregelamendu honen eduki batzuek zaurgarritasun-egoera sortzen dutela. Horregatik, badirudi berriro aktibatzen ari dela migratuen ezohiko erregularizazio berri bat onartzeko eta aplikatzeko prozesua.</w:t>
      </w:r>
    </w:p>
    <w:p w14:paraId="774687B8" w14:textId="0FD50EE7" w:rsidR="0094513D" w:rsidRPr="0094513D" w:rsidRDefault="0094513D" w:rsidP="0094513D">
      <w:pPr>
        <w:jc w:val="both"/>
        <w:rPr>
          <w:rFonts w:ascii="Calibri" w:hAnsi="Calibri" w:cs="Calibri"/>
        </w:rPr>
      </w:pPr>
      <w:r>
        <w:rPr>
          <w:rFonts w:ascii="Calibri" w:hAnsi="Calibri"/>
        </w:rPr>
        <w:t>Erabaki-proposamena:</w:t>
      </w:r>
    </w:p>
    <w:p w14:paraId="55C010EB" w14:textId="77777777" w:rsidR="0094513D" w:rsidRPr="0094513D" w:rsidRDefault="0094513D" w:rsidP="0094513D">
      <w:pPr>
        <w:jc w:val="both"/>
        <w:rPr>
          <w:rFonts w:ascii="Calibri" w:hAnsi="Calibri" w:cs="Calibri"/>
        </w:rPr>
      </w:pPr>
      <w:r>
        <w:rPr>
          <w:rFonts w:ascii="Calibri" w:hAnsi="Calibri"/>
        </w:rPr>
        <w:t>Nafarroako Parlamentuak:</w:t>
      </w:r>
    </w:p>
    <w:p w14:paraId="6FB3386A" w14:textId="77777777" w:rsidR="0094513D" w:rsidRPr="0094513D" w:rsidRDefault="0094513D" w:rsidP="0094513D">
      <w:pPr>
        <w:jc w:val="both"/>
        <w:rPr>
          <w:rFonts w:ascii="Calibri" w:hAnsi="Calibri" w:cs="Calibri"/>
        </w:rPr>
      </w:pPr>
      <w:r>
        <w:rPr>
          <w:rFonts w:ascii="Calibri" w:hAnsi="Calibri"/>
        </w:rPr>
        <w:t xml:space="preserve">• Inklusioko, Gizarte Segurantzako eta Migrazioetako Ministerioa premiatzen du gogoan har dezan Atzerritartasun Erregelamendu berriaren 126.b artikulua eta bosgarren xedapen iragankorra ez aplikatzea erregelamendua indarrean sartu aitzin nazioarteko babesa eskatu duten pertsonei. </w:t>
      </w:r>
    </w:p>
    <w:p w14:paraId="7CE3E14C" w14:textId="77777777" w:rsidR="0094513D" w:rsidRPr="0094513D" w:rsidRDefault="0094513D" w:rsidP="0094513D">
      <w:pPr>
        <w:jc w:val="both"/>
        <w:rPr>
          <w:rFonts w:ascii="Calibri" w:hAnsi="Calibri" w:cs="Calibri"/>
        </w:rPr>
      </w:pPr>
      <w:r>
        <w:rPr>
          <w:rFonts w:ascii="Calibri" w:hAnsi="Calibri"/>
        </w:rPr>
        <w:t>• Nafarroako Gobernua premiatzen du erne egon dadin erregelamendu berri horren aplikazioak kalte egin diezaiekeen edo egoera irregularrean gera litezkeen familien eta norbanakoen kasuan, arreta berezia jarrita adingabearen interes gorenaren printzipioaren aplikazioan.</w:t>
      </w:r>
    </w:p>
    <w:p w14:paraId="071AD750" w14:textId="77777777" w:rsidR="0094513D" w:rsidRPr="0094513D" w:rsidRDefault="0094513D" w:rsidP="0094513D">
      <w:pPr>
        <w:jc w:val="both"/>
        <w:rPr>
          <w:rFonts w:ascii="Calibri" w:hAnsi="Calibri" w:cs="Calibri"/>
        </w:rPr>
      </w:pPr>
      <w:r>
        <w:rPr>
          <w:rFonts w:ascii="Calibri" w:hAnsi="Calibri"/>
        </w:rPr>
        <w:lastRenderedPageBreak/>
        <w:t xml:space="preserve">• Kongresuko eta Senatuko taldeak premiatzen ditu, bai eta Estatuko Gobernua ere, Erregularizazioa orain! legegintzako herri-ekimena onets eta aplika dezaten (ekimen hori aintzat hartzea 2024ko apirilaren 9an onetsi zen gehiengo osoz), horrek ahalbidetuko lukeelako herritartasuna lortzea erregelamendu horrek ukitutako pertsonek, baina baita egoera irregularrean dauden beste milaka pertsonak ere. </w:t>
      </w:r>
    </w:p>
    <w:p w14:paraId="343E1F02" w14:textId="3DA892F7" w:rsidR="0094513D" w:rsidRPr="0094513D" w:rsidRDefault="0094513D" w:rsidP="0094513D">
      <w:pPr>
        <w:jc w:val="both"/>
        <w:rPr>
          <w:rFonts w:ascii="Calibri" w:hAnsi="Calibri" w:cs="Calibri"/>
        </w:rPr>
      </w:pPr>
      <w:r>
        <w:rPr>
          <w:rFonts w:ascii="Calibri" w:hAnsi="Calibri"/>
        </w:rPr>
        <w:t>Iruñean, 2025eko maiatzaren 28an</w:t>
      </w:r>
    </w:p>
    <w:p w14:paraId="6D29663B" w14:textId="291F08F7" w:rsidR="0094513D" w:rsidRPr="0094513D" w:rsidRDefault="0094513D" w:rsidP="0094513D">
      <w:pPr>
        <w:jc w:val="both"/>
        <w:rPr>
          <w:rFonts w:ascii="Calibri" w:hAnsi="Calibri" w:cs="Calibri"/>
        </w:rPr>
      </w:pPr>
      <w:r>
        <w:rPr>
          <w:rFonts w:ascii="Calibri" w:hAnsi="Calibri"/>
        </w:rPr>
        <w:t>Foru parlamentaria: Javier Arza Porras</w:t>
      </w:r>
    </w:p>
    <w:sectPr w:rsidR="0094513D" w:rsidRPr="0094513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3D"/>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00056"/>
    <w:rsid w:val="00845D68"/>
    <w:rsid w:val="00854C8E"/>
    <w:rsid w:val="0089010A"/>
    <w:rsid w:val="008A3285"/>
    <w:rsid w:val="0094513D"/>
    <w:rsid w:val="00956302"/>
    <w:rsid w:val="0099767F"/>
    <w:rsid w:val="00A536E1"/>
    <w:rsid w:val="00A6590A"/>
    <w:rsid w:val="00AA1B4B"/>
    <w:rsid w:val="00AB060A"/>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5528"/>
  <w15:chartTrackingRefBased/>
  <w15:docId w15:val="{6EE19687-CE22-42E5-A2F3-10AB4042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5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5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5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5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5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5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5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5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5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5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5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5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5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5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5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5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513D"/>
    <w:rPr>
      <w:rFonts w:eastAsiaTheme="majorEastAsia" w:cstheme="majorBidi"/>
      <w:color w:val="272727" w:themeColor="text1" w:themeTint="D8"/>
    </w:rPr>
  </w:style>
  <w:style w:type="paragraph" w:styleId="Ttulo">
    <w:name w:val="Title"/>
    <w:basedOn w:val="Normal"/>
    <w:next w:val="Normal"/>
    <w:link w:val="TtuloCar"/>
    <w:uiPriority w:val="10"/>
    <w:qFormat/>
    <w:rsid w:val="00945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5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5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513D"/>
    <w:pPr>
      <w:spacing w:before="160"/>
      <w:jc w:val="center"/>
    </w:pPr>
    <w:rPr>
      <w:i/>
      <w:iCs/>
      <w:color w:val="404040" w:themeColor="text1" w:themeTint="BF"/>
    </w:rPr>
  </w:style>
  <w:style w:type="character" w:customStyle="1" w:styleId="CitaCar">
    <w:name w:val="Cita Car"/>
    <w:basedOn w:val="Fuentedeprrafopredeter"/>
    <w:link w:val="Cita"/>
    <w:uiPriority w:val="29"/>
    <w:rsid w:val="0094513D"/>
    <w:rPr>
      <w:i/>
      <w:iCs/>
      <w:color w:val="404040" w:themeColor="text1" w:themeTint="BF"/>
    </w:rPr>
  </w:style>
  <w:style w:type="paragraph" w:styleId="Prrafodelista">
    <w:name w:val="List Paragraph"/>
    <w:basedOn w:val="Normal"/>
    <w:uiPriority w:val="34"/>
    <w:qFormat/>
    <w:rsid w:val="0094513D"/>
    <w:pPr>
      <w:ind w:left="720"/>
      <w:contextualSpacing/>
    </w:pPr>
  </w:style>
  <w:style w:type="character" w:styleId="nfasisintenso">
    <w:name w:val="Intense Emphasis"/>
    <w:basedOn w:val="Fuentedeprrafopredeter"/>
    <w:uiPriority w:val="21"/>
    <w:qFormat/>
    <w:rsid w:val="0094513D"/>
    <w:rPr>
      <w:i/>
      <w:iCs/>
      <w:color w:val="0F4761" w:themeColor="accent1" w:themeShade="BF"/>
    </w:rPr>
  </w:style>
  <w:style w:type="paragraph" w:styleId="Citadestacada">
    <w:name w:val="Intense Quote"/>
    <w:basedOn w:val="Normal"/>
    <w:next w:val="Normal"/>
    <w:link w:val="CitadestacadaCar"/>
    <w:uiPriority w:val="30"/>
    <w:qFormat/>
    <w:rsid w:val="00945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513D"/>
    <w:rPr>
      <w:i/>
      <w:iCs/>
      <w:color w:val="0F4761" w:themeColor="accent1" w:themeShade="BF"/>
    </w:rPr>
  </w:style>
  <w:style w:type="character" w:styleId="Referenciaintensa">
    <w:name w:val="Intense Reference"/>
    <w:basedOn w:val="Fuentedeprrafopredeter"/>
    <w:uiPriority w:val="32"/>
    <w:qFormat/>
    <w:rsid w:val="009451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2885</Characters>
  <Application>Microsoft Office Word</Application>
  <DocSecurity>0</DocSecurity>
  <Lines>24</Lines>
  <Paragraphs>6</Paragraphs>
  <ScaleCrop>false</ScaleCrop>
  <Company>HP Inc.</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2025-05-29T12:10:00Z</dcterms:created>
  <dcterms:modified xsi:type="dcterms:W3CDTF">2025-06-03T06:46:00Z</dcterms:modified>
</cp:coreProperties>
</file>