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3D52" w14:textId="51A3B36A" w:rsidR="00B065BA" w:rsidRPr="0094513D" w:rsidRDefault="0094513D" w:rsidP="0094513D">
      <w:pPr>
        <w:jc w:val="both"/>
        <w:rPr>
          <w:rFonts w:ascii="Calibri" w:hAnsi="Calibri" w:cs="Calibri"/>
        </w:rPr>
      </w:pPr>
      <w:r w:rsidRPr="0094513D">
        <w:rPr>
          <w:rFonts w:ascii="Calibri" w:hAnsi="Calibri" w:cs="Calibri"/>
        </w:rPr>
        <w:t>25MOC-82</w:t>
      </w:r>
    </w:p>
    <w:p w14:paraId="38A4D021" w14:textId="77777777" w:rsidR="0094513D" w:rsidRPr="0094513D" w:rsidRDefault="0094513D" w:rsidP="0094513D">
      <w:pPr>
        <w:jc w:val="both"/>
        <w:rPr>
          <w:rFonts w:ascii="Calibri" w:hAnsi="Calibri" w:cs="Calibri"/>
        </w:rPr>
      </w:pPr>
      <w:r w:rsidRPr="0094513D">
        <w:rPr>
          <w:rFonts w:ascii="Calibri" w:hAnsi="Calibri" w:cs="Calibri"/>
        </w:rPr>
        <w:t>Javier Arza Porras</w:t>
      </w:r>
      <w:r w:rsidRPr="0094513D">
        <w:rPr>
          <w:rFonts w:ascii="Calibri" w:hAnsi="Calibri" w:cs="Calibri"/>
        </w:rPr>
        <w:t xml:space="preserve">, parlamentario adscrito al </w:t>
      </w:r>
      <w:r w:rsidRPr="0094513D">
        <w:rPr>
          <w:rFonts w:ascii="Calibri" w:hAnsi="Calibri" w:cs="Calibri"/>
        </w:rPr>
        <w:t>G.P. EH Bildu-Nafarroa</w:t>
      </w:r>
      <w:r w:rsidRPr="0094513D">
        <w:rPr>
          <w:rFonts w:ascii="Calibri" w:hAnsi="Calibri" w:cs="Calibri"/>
        </w:rPr>
        <w:t xml:space="preserve">, al amparo de lo establecido en el Reglamento de la Cámara, presenta la siguiente </w:t>
      </w:r>
      <w:r w:rsidRPr="0094513D">
        <w:rPr>
          <w:rFonts w:ascii="Calibri" w:hAnsi="Calibri" w:cs="Calibri"/>
        </w:rPr>
        <w:t>moción</w:t>
      </w:r>
      <w:r w:rsidRPr="0094513D">
        <w:rPr>
          <w:rFonts w:ascii="Calibri" w:hAnsi="Calibri" w:cs="Calibri"/>
        </w:rPr>
        <w:t xml:space="preserve"> para su debate y votación en el Pleno del Parlamento de Navarra.</w:t>
      </w:r>
    </w:p>
    <w:p w14:paraId="145CA812" w14:textId="6EBFEF64" w:rsidR="0094513D" w:rsidRPr="0094513D" w:rsidRDefault="0094513D" w:rsidP="0094513D">
      <w:pPr>
        <w:jc w:val="both"/>
        <w:rPr>
          <w:rFonts w:ascii="Calibri" w:hAnsi="Calibri" w:cs="Calibri"/>
        </w:rPr>
      </w:pPr>
      <w:r w:rsidRPr="0094513D">
        <w:rPr>
          <w:rFonts w:ascii="Calibri" w:hAnsi="Calibri" w:cs="Calibri"/>
        </w:rPr>
        <w:t>Exposición de motivos</w:t>
      </w:r>
    </w:p>
    <w:p w14:paraId="283E6BC0" w14:textId="77777777" w:rsidR="0094513D" w:rsidRPr="0094513D" w:rsidRDefault="0094513D" w:rsidP="0094513D">
      <w:pPr>
        <w:jc w:val="both"/>
        <w:rPr>
          <w:rFonts w:ascii="Calibri" w:hAnsi="Calibri" w:cs="Calibri"/>
        </w:rPr>
      </w:pPr>
      <w:r w:rsidRPr="0094513D">
        <w:rPr>
          <w:rFonts w:ascii="Calibri" w:hAnsi="Calibri" w:cs="Calibri"/>
        </w:rPr>
        <w:t>El nuevo Reglamento de Extranjería, aprobado a través del RD 1155/2024 de 19 de noviembre de 2024, entró en vigor el pasado 20 de mayo. Su aplicación podría aportar algunos beneficios, como la simplificación de los trámites para las renovaciones o la reducción del tiempo necesario para el arraigo. Sin embargo, también puede generar la pérdida de derechos para las personas solicitantes de protección internacional. Así, este reglamento introduce las siguientes medidas:</w:t>
      </w:r>
    </w:p>
    <w:p w14:paraId="2D7C01A1" w14:textId="77777777" w:rsidR="0094513D" w:rsidRPr="0094513D" w:rsidRDefault="0094513D" w:rsidP="0094513D">
      <w:pPr>
        <w:jc w:val="both"/>
        <w:rPr>
          <w:rFonts w:ascii="Calibri" w:hAnsi="Calibri" w:cs="Calibri"/>
        </w:rPr>
      </w:pPr>
      <w:r w:rsidRPr="0094513D">
        <w:rPr>
          <w:rFonts w:ascii="Calibri" w:hAnsi="Calibri" w:cs="Calibri"/>
        </w:rPr>
        <w:t>• Las personas solicitantes de protección internacional, que reciban una respuesta negativa a su petición, no podrán computar para la demostración de arraigo todo el tiempo que hayan estado residiendo en el país. Por ello, tendrían que vivir en la irregularidad 2 años para poder solicitar la regularización de su situación.</w:t>
      </w:r>
    </w:p>
    <w:p w14:paraId="21C6FDC0" w14:textId="77777777" w:rsidR="0094513D" w:rsidRPr="0094513D" w:rsidRDefault="0094513D" w:rsidP="0094513D">
      <w:pPr>
        <w:jc w:val="both"/>
        <w:rPr>
          <w:rFonts w:ascii="Calibri" w:hAnsi="Calibri" w:cs="Calibri"/>
        </w:rPr>
      </w:pPr>
      <w:r w:rsidRPr="0094513D">
        <w:rPr>
          <w:rFonts w:ascii="Calibri" w:hAnsi="Calibri" w:cs="Calibri"/>
        </w:rPr>
        <w:t>• Incluso las personas que decidan desistir y abandonar la petición de protección internacional, tendrían que acumular 6 meses en situación irregular para poder solicitar la regularización.</w:t>
      </w:r>
    </w:p>
    <w:p w14:paraId="360874FE" w14:textId="77777777" w:rsidR="0094513D" w:rsidRPr="0094513D" w:rsidRDefault="0094513D" w:rsidP="0094513D">
      <w:pPr>
        <w:jc w:val="both"/>
        <w:rPr>
          <w:rFonts w:ascii="Calibri" w:hAnsi="Calibri" w:cs="Calibri"/>
        </w:rPr>
      </w:pPr>
      <w:r w:rsidRPr="0094513D">
        <w:rPr>
          <w:rFonts w:ascii="Calibri" w:hAnsi="Calibri" w:cs="Calibri"/>
        </w:rPr>
        <w:t>Al terminar el año 2024 había casi 250.000 personas esperando una respuesta a su solicitud de protección internacional. Se trata por lo tanto de un notable número de personas que podrían incrementar el largo listado de personas en situación irregular, es decir, el largo listado de personas que no pueden acceder a un empleo o para las que se encuentran limitados los derechos de ciudadanía.</w:t>
      </w:r>
    </w:p>
    <w:p w14:paraId="3988A5DC" w14:textId="57356249" w:rsidR="0094513D" w:rsidRPr="0094513D" w:rsidRDefault="0094513D" w:rsidP="0094513D">
      <w:pPr>
        <w:jc w:val="both"/>
        <w:rPr>
          <w:rFonts w:ascii="Calibri" w:hAnsi="Calibri" w:cs="Calibri"/>
        </w:rPr>
      </w:pPr>
      <w:r w:rsidRPr="0094513D">
        <w:rPr>
          <w:rFonts w:ascii="Calibri" w:hAnsi="Calibri" w:cs="Calibri"/>
        </w:rPr>
        <w:t>Ante esta situación, varias organizaciones sociales y sindicales han criticado el impacto negativo que especialmente el artículo 126 b y la Disposición Transitoria Quinta del nuevo Reglamento tendría en los derechos de las personas solicitantes de protección internacional. Por ejemplo, Cáritas, Red Acoge, Andalucía Acoge, CEAR y el Servicio Jesuita a Migrantes, presentaron el 20 de enero un recurso contencioso administrativo ante el Tribunal Supremo. Asimismo, la asociación ProDerechos Humanos, la Coordinadora de Barrios y la asociación de abogados especializados en inmigración, presentaron un segundo recurso.</w:t>
      </w:r>
    </w:p>
    <w:p w14:paraId="56C09E7C" w14:textId="77777777" w:rsidR="0094513D" w:rsidRPr="0094513D" w:rsidRDefault="0094513D" w:rsidP="0094513D">
      <w:pPr>
        <w:jc w:val="both"/>
        <w:rPr>
          <w:rFonts w:ascii="Calibri" w:hAnsi="Calibri" w:cs="Calibri"/>
        </w:rPr>
      </w:pPr>
      <w:r w:rsidRPr="0094513D">
        <w:rPr>
          <w:rFonts w:ascii="Calibri" w:hAnsi="Calibri" w:cs="Calibri"/>
        </w:rPr>
        <w:t>El propio Gobierno del Estado ha reconocido la situación de vulnerabilidad que generan alguno de los contenidos de este reglamento de extranjería. Por ello, parece estar reactivándose el proceso para aprobar y aplicar una nueva regularización extraordinaria de personas migradas.</w:t>
      </w:r>
    </w:p>
    <w:p w14:paraId="774687B8" w14:textId="0FD50EE7" w:rsidR="0094513D" w:rsidRPr="0094513D" w:rsidRDefault="0094513D" w:rsidP="0094513D">
      <w:pPr>
        <w:jc w:val="both"/>
        <w:rPr>
          <w:rFonts w:ascii="Calibri" w:hAnsi="Calibri" w:cs="Calibri"/>
        </w:rPr>
      </w:pPr>
      <w:r w:rsidRPr="0094513D">
        <w:rPr>
          <w:rFonts w:ascii="Calibri" w:hAnsi="Calibri" w:cs="Calibri"/>
        </w:rPr>
        <w:t>Propuesta de resolución:</w:t>
      </w:r>
    </w:p>
    <w:p w14:paraId="55C010EB" w14:textId="77777777" w:rsidR="0094513D" w:rsidRPr="0094513D" w:rsidRDefault="0094513D" w:rsidP="0094513D">
      <w:pPr>
        <w:jc w:val="both"/>
        <w:rPr>
          <w:rFonts w:ascii="Calibri" w:hAnsi="Calibri" w:cs="Calibri"/>
        </w:rPr>
      </w:pPr>
      <w:r w:rsidRPr="0094513D">
        <w:rPr>
          <w:rFonts w:ascii="Calibri" w:hAnsi="Calibri" w:cs="Calibri"/>
        </w:rPr>
        <w:t>El Parlamento de Navarra:</w:t>
      </w:r>
    </w:p>
    <w:p w14:paraId="6FB3386A" w14:textId="77777777" w:rsidR="0094513D" w:rsidRPr="0094513D" w:rsidRDefault="0094513D" w:rsidP="0094513D">
      <w:pPr>
        <w:jc w:val="both"/>
        <w:rPr>
          <w:rFonts w:ascii="Calibri" w:hAnsi="Calibri" w:cs="Calibri"/>
        </w:rPr>
      </w:pPr>
      <w:r w:rsidRPr="0094513D">
        <w:rPr>
          <w:rFonts w:ascii="Calibri" w:hAnsi="Calibri" w:cs="Calibri"/>
        </w:rPr>
        <w:t>• Insta al Ministerio de Inclusión, Seguridad Social y Migraciones a que considere la no aplicación del art. 126b y la Disposición Transitoria Quinta del nuevo Reglamento de Extranjería a las personas que han solicitado la protección internacional con anterioridad a la fecha de entrada en vigor del Reglamento.</w:t>
      </w:r>
    </w:p>
    <w:p w14:paraId="7CE3E14C" w14:textId="77777777" w:rsidR="0094513D" w:rsidRPr="0094513D" w:rsidRDefault="0094513D" w:rsidP="0094513D">
      <w:pPr>
        <w:jc w:val="both"/>
        <w:rPr>
          <w:rFonts w:ascii="Calibri" w:hAnsi="Calibri" w:cs="Calibri"/>
        </w:rPr>
      </w:pPr>
      <w:r w:rsidRPr="0094513D">
        <w:rPr>
          <w:rFonts w:ascii="Calibri" w:hAnsi="Calibri" w:cs="Calibri"/>
        </w:rPr>
        <w:t xml:space="preserve">• Insta al Gobierno de Navarra a que se mantenga vigilante ante aquellas familias e individuos que pudieran verse afectadas negativamente o pudieran quedarse en situación administrativa </w:t>
      </w:r>
      <w:r w:rsidRPr="0094513D">
        <w:rPr>
          <w:rFonts w:ascii="Calibri" w:hAnsi="Calibri" w:cs="Calibri"/>
        </w:rPr>
        <w:lastRenderedPageBreak/>
        <w:t>irregular por la aplicación de este nuevo reglamento, con especial atención en este caso a la aplicación del principio del interés superior del o de la menor de edad.</w:t>
      </w:r>
    </w:p>
    <w:p w14:paraId="071AD750" w14:textId="77777777" w:rsidR="0094513D" w:rsidRPr="0094513D" w:rsidRDefault="0094513D" w:rsidP="0094513D">
      <w:pPr>
        <w:jc w:val="both"/>
        <w:rPr>
          <w:rFonts w:ascii="Calibri" w:hAnsi="Calibri" w:cs="Calibri"/>
        </w:rPr>
      </w:pPr>
      <w:r w:rsidRPr="0094513D">
        <w:rPr>
          <w:rFonts w:ascii="Calibri" w:hAnsi="Calibri" w:cs="Calibri"/>
        </w:rPr>
        <w:t>• Insta a los grupos del Congreso y el Senado, así como al Gobierno del Estado, a que aprueben y apliquen la Iniciativa Legislativa Popular “Regularización Ya” (su toma en consideración fue aprobada por mayoría absoluta el 9 de abril de 2024), que permitiría el acceso a la ciudadanía a las personas afectadas por este reglamento, pero también a otros miles que se encuentran en situación irregular.</w:t>
      </w:r>
    </w:p>
    <w:p w14:paraId="343E1F02" w14:textId="3DA892F7" w:rsidR="0094513D" w:rsidRPr="0094513D" w:rsidRDefault="0094513D" w:rsidP="0094513D">
      <w:pPr>
        <w:jc w:val="both"/>
        <w:rPr>
          <w:rFonts w:ascii="Calibri" w:hAnsi="Calibri" w:cs="Calibri"/>
        </w:rPr>
      </w:pPr>
      <w:r w:rsidRPr="0094513D">
        <w:rPr>
          <w:rFonts w:ascii="Calibri" w:hAnsi="Calibri" w:cs="Calibri"/>
        </w:rPr>
        <w:t>Pamplona/Iruñea, a 28 de mayo de 2025</w:t>
      </w:r>
    </w:p>
    <w:p w14:paraId="6D29663B" w14:textId="291F08F7" w:rsidR="0094513D" w:rsidRPr="0094513D" w:rsidRDefault="0094513D" w:rsidP="0094513D">
      <w:pPr>
        <w:jc w:val="both"/>
        <w:rPr>
          <w:rFonts w:ascii="Calibri" w:hAnsi="Calibri" w:cs="Calibri"/>
        </w:rPr>
      </w:pPr>
      <w:r w:rsidRPr="0094513D">
        <w:rPr>
          <w:rFonts w:ascii="Calibri" w:hAnsi="Calibri" w:cs="Calibri"/>
        </w:rPr>
        <w:t>El Parlamentario Foral: Javier Arza Porras</w:t>
      </w:r>
    </w:p>
    <w:sectPr w:rsidR="0094513D" w:rsidRPr="0094513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3D"/>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4513D"/>
    <w:rsid w:val="00956302"/>
    <w:rsid w:val="00A536E1"/>
    <w:rsid w:val="00A6590A"/>
    <w:rsid w:val="00AA1B4B"/>
    <w:rsid w:val="00AB060A"/>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5528"/>
  <w15:chartTrackingRefBased/>
  <w15:docId w15:val="{6EE19687-CE22-42E5-A2F3-10AB4042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5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5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51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51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51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51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51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51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51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51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51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51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51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51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51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51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51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513D"/>
    <w:rPr>
      <w:rFonts w:eastAsiaTheme="majorEastAsia" w:cstheme="majorBidi"/>
      <w:color w:val="272727" w:themeColor="text1" w:themeTint="D8"/>
    </w:rPr>
  </w:style>
  <w:style w:type="paragraph" w:styleId="Ttulo">
    <w:name w:val="Title"/>
    <w:basedOn w:val="Normal"/>
    <w:next w:val="Normal"/>
    <w:link w:val="TtuloCar"/>
    <w:uiPriority w:val="10"/>
    <w:qFormat/>
    <w:rsid w:val="00945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51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51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5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513D"/>
    <w:pPr>
      <w:spacing w:before="160"/>
      <w:jc w:val="center"/>
    </w:pPr>
    <w:rPr>
      <w:i/>
      <w:iCs/>
      <w:color w:val="404040" w:themeColor="text1" w:themeTint="BF"/>
    </w:rPr>
  </w:style>
  <w:style w:type="character" w:customStyle="1" w:styleId="CitaCar">
    <w:name w:val="Cita Car"/>
    <w:basedOn w:val="Fuentedeprrafopredeter"/>
    <w:link w:val="Cita"/>
    <w:uiPriority w:val="29"/>
    <w:rsid w:val="0094513D"/>
    <w:rPr>
      <w:i/>
      <w:iCs/>
      <w:color w:val="404040" w:themeColor="text1" w:themeTint="BF"/>
    </w:rPr>
  </w:style>
  <w:style w:type="paragraph" w:styleId="Prrafodelista">
    <w:name w:val="List Paragraph"/>
    <w:basedOn w:val="Normal"/>
    <w:uiPriority w:val="34"/>
    <w:qFormat/>
    <w:rsid w:val="0094513D"/>
    <w:pPr>
      <w:ind w:left="720"/>
      <w:contextualSpacing/>
    </w:pPr>
  </w:style>
  <w:style w:type="character" w:styleId="nfasisintenso">
    <w:name w:val="Intense Emphasis"/>
    <w:basedOn w:val="Fuentedeprrafopredeter"/>
    <w:uiPriority w:val="21"/>
    <w:qFormat/>
    <w:rsid w:val="0094513D"/>
    <w:rPr>
      <w:i/>
      <w:iCs/>
      <w:color w:val="0F4761" w:themeColor="accent1" w:themeShade="BF"/>
    </w:rPr>
  </w:style>
  <w:style w:type="paragraph" w:styleId="Citadestacada">
    <w:name w:val="Intense Quote"/>
    <w:basedOn w:val="Normal"/>
    <w:next w:val="Normal"/>
    <w:link w:val="CitadestacadaCar"/>
    <w:uiPriority w:val="30"/>
    <w:qFormat/>
    <w:rsid w:val="00945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513D"/>
    <w:rPr>
      <w:i/>
      <w:iCs/>
      <w:color w:val="0F4761" w:themeColor="accent1" w:themeShade="BF"/>
    </w:rPr>
  </w:style>
  <w:style w:type="character" w:styleId="Referenciaintensa">
    <w:name w:val="Intense Reference"/>
    <w:basedOn w:val="Fuentedeprrafopredeter"/>
    <w:uiPriority w:val="32"/>
    <w:qFormat/>
    <w:rsid w:val="00945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3155</Characters>
  <Application>Microsoft Office Word</Application>
  <DocSecurity>0</DocSecurity>
  <Lines>26</Lines>
  <Paragraphs>7</Paragraphs>
  <ScaleCrop>false</ScaleCrop>
  <Company>HP Inc.</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2025-05-29T12:10:00Z</dcterms:created>
  <dcterms:modified xsi:type="dcterms:W3CDTF">2025-05-29T12:13:00Z</dcterms:modified>
</cp:coreProperties>
</file>