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49C0" w14:textId="6E8EEE58" w:rsidR="00730C46" w:rsidRPr="00AF0233" w:rsidRDefault="005C6F85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>La</w:t>
      </w:r>
      <w:r w:rsidR="00C45E0E" w:rsidRPr="00AF0233">
        <w:rPr>
          <w:rFonts w:ascii="Calibri" w:hAnsi="Calibri" w:cs="Calibri"/>
          <w:sz w:val="22"/>
          <w:szCs w:val="22"/>
        </w:rPr>
        <w:t xml:space="preserve"> Consejer</w:t>
      </w:r>
      <w:r w:rsidRPr="00AF0233">
        <w:rPr>
          <w:rFonts w:ascii="Calibri" w:hAnsi="Calibri" w:cs="Calibri"/>
          <w:sz w:val="22"/>
          <w:szCs w:val="22"/>
        </w:rPr>
        <w:t xml:space="preserve">a de </w:t>
      </w:r>
      <w:r w:rsidR="00C45E0E" w:rsidRPr="00AF0233">
        <w:rPr>
          <w:rFonts w:ascii="Calibri" w:hAnsi="Calibri" w:cs="Calibri"/>
          <w:sz w:val="22"/>
          <w:szCs w:val="22"/>
        </w:rPr>
        <w:t>Vivienda, Juventud y Políticas Migratorias</w:t>
      </w:r>
      <w:r w:rsidRPr="00AF0233">
        <w:rPr>
          <w:rFonts w:ascii="Calibri" w:hAnsi="Calibri" w:cs="Calibri"/>
          <w:sz w:val="22"/>
          <w:szCs w:val="22"/>
        </w:rPr>
        <w:t xml:space="preserve"> del Gobierno de Navarra, en relación </w:t>
      </w:r>
      <w:r w:rsidR="00D76DC5" w:rsidRPr="00AF0233">
        <w:rPr>
          <w:rFonts w:ascii="Calibri" w:hAnsi="Calibri" w:cs="Calibri"/>
          <w:sz w:val="22"/>
          <w:szCs w:val="22"/>
        </w:rPr>
        <w:t xml:space="preserve">con la pregunta para su contestación por escrito formulada por </w:t>
      </w:r>
      <w:r w:rsidR="00730C46" w:rsidRPr="00AF0233">
        <w:rPr>
          <w:rFonts w:ascii="Calibri" w:hAnsi="Calibri" w:cs="Calibri"/>
          <w:sz w:val="22"/>
          <w:szCs w:val="22"/>
        </w:rPr>
        <w:t xml:space="preserve">la </w:t>
      </w:r>
      <w:r w:rsidRPr="00AF0233">
        <w:rPr>
          <w:rFonts w:ascii="Calibri" w:hAnsi="Calibri" w:cs="Calibri"/>
          <w:sz w:val="22"/>
          <w:szCs w:val="22"/>
        </w:rPr>
        <w:t>Parlamentari</w:t>
      </w:r>
      <w:r w:rsidR="00730C46" w:rsidRPr="00AF0233">
        <w:rPr>
          <w:rFonts w:ascii="Calibri" w:hAnsi="Calibri" w:cs="Calibri"/>
          <w:sz w:val="22"/>
          <w:szCs w:val="22"/>
        </w:rPr>
        <w:t>a</w:t>
      </w:r>
      <w:r w:rsidR="00890456" w:rsidRPr="00AF0233">
        <w:rPr>
          <w:rFonts w:ascii="Calibri" w:hAnsi="Calibri" w:cs="Calibri"/>
          <w:sz w:val="22"/>
          <w:szCs w:val="22"/>
        </w:rPr>
        <w:t xml:space="preserve"> Foral Ilm</w:t>
      </w:r>
      <w:r w:rsidR="00730C46" w:rsidRPr="00AF0233">
        <w:rPr>
          <w:rFonts w:ascii="Calibri" w:hAnsi="Calibri" w:cs="Calibri"/>
          <w:sz w:val="22"/>
          <w:szCs w:val="22"/>
        </w:rPr>
        <w:t>a</w:t>
      </w:r>
      <w:r w:rsidR="00C45E0E" w:rsidRPr="00AF0233">
        <w:rPr>
          <w:rFonts w:ascii="Calibri" w:hAnsi="Calibri" w:cs="Calibri"/>
          <w:sz w:val="22"/>
          <w:szCs w:val="22"/>
        </w:rPr>
        <w:t>. Sr</w:t>
      </w:r>
      <w:r w:rsidR="00730C46" w:rsidRPr="00AF0233">
        <w:rPr>
          <w:rFonts w:ascii="Calibri" w:hAnsi="Calibri" w:cs="Calibri"/>
          <w:sz w:val="22"/>
          <w:szCs w:val="22"/>
        </w:rPr>
        <w:t>a</w:t>
      </w:r>
      <w:r w:rsidR="0014013D" w:rsidRPr="00AF0233">
        <w:rPr>
          <w:rFonts w:ascii="Calibri" w:hAnsi="Calibri" w:cs="Calibri"/>
          <w:sz w:val="22"/>
          <w:szCs w:val="22"/>
        </w:rPr>
        <w:t>.</w:t>
      </w:r>
      <w:r w:rsidR="00C45E0E" w:rsidRPr="00AF0233">
        <w:rPr>
          <w:rFonts w:ascii="Calibri" w:hAnsi="Calibri" w:cs="Calibri"/>
          <w:sz w:val="22"/>
          <w:szCs w:val="22"/>
        </w:rPr>
        <w:t xml:space="preserve"> </w:t>
      </w:r>
      <w:r w:rsidR="00890456" w:rsidRPr="00AF0233">
        <w:rPr>
          <w:rFonts w:ascii="Calibri" w:hAnsi="Calibri" w:cs="Calibri"/>
          <w:sz w:val="22"/>
          <w:szCs w:val="22"/>
        </w:rPr>
        <w:t>D</w:t>
      </w:r>
      <w:r w:rsidR="00730C46" w:rsidRPr="00AF0233">
        <w:rPr>
          <w:rFonts w:ascii="Calibri" w:hAnsi="Calibri" w:cs="Calibri"/>
          <w:sz w:val="22"/>
          <w:szCs w:val="22"/>
        </w:rPr>
        <w:t>ña</w:t>
      </w:r>
      <w:r w:rsidR="00890456" w:rsidRPr="00AF0233">
        <w:rPr>
          <w:rFonts w:ascii="Calibri" w:hAnsi="Calibri" w:cs="Calibri"/>
          <w:sz w:val="22"/>
          <w:szCs w:val="22"/>
        </w:rPr>
        <w:t xml:space="preserve">. </w:t>
      </w:r>
      <w:r w:rsidR="00730C46" w:rsidRPr="00AF0233">
        <w:rPr>
          <w:rFonts w:ascii="Calibri" w:hAnsi="Calibri" w:cs="Calibri"/>
          <w:sz w:val="22"/>
          <w:szCs w:val="22"/>
        </w:rPr>
        <w:t>Cristina López Mañero</w:t>
      </w:r>
      <w:r w:rsidR="005F6D5D" w:rsidRPr="00AF0233">
        <w:rPr>
          <w:rFonts w:ascii="Calibri" w:hAnsi="Calibri" w:cs="Calibri"/>
          <w:sz w:val="22"/>
          <w:szCs w:val="22"/>
        </w:rPr>
        <w:t xml:space="preserve"> adscrit</w:t>
      </w:r>
      <w:r w:rsidR="00730C46" w:rsidRPr="00AF0233">
        <w:rPr>
          <w:rFonts w:ascii="Calibri" w:hAnsi="Calibri" w:cs="Calibri"/>
          <w:sz w:val="22"/>
          <w:szCs w:val="22"/>
        </w:rPr>
        <w:t>a</w:t>
      </w:r>
      <w:r w:rsidRPr="00AF0233">
        <w:rPr>
          <w:rFonts w:ascii="Calibri" w:hAnsi="Calibri" w:cs="Calibri"/>
          <w:sz w:val="22"/>
          <w:szCs w:val="22"/>
        </w:rPr>
        <w:t xml:space="preserve"> al </w:t>
      </w:r>
      <w:r w:rsidR="00253366" w:rsidRPr="00AF0233">
        <w:rPr>
          <w:rFonts w:ascii="Calibri" w:hAnsi="Calibri" w:cs="Calibri"/>
          <w:sz w:val="22"/>
          <w:szCs w:val="22"/>
        </w:rPr>
        <w:t xml:space="preserve">grupo parlamentario </w:t>
      </w:r>
      <w:r w:rsidR="00730C46" w:rsidRPr="00AF0233">
        <w:rPr>
          <w:rFonts w:ascii="Calibri" w:hAnsi="Calibri" w:cs="Calibri"/>
          <w:sz w:val="22"/>
          <w:szCs w:val="22"/>
        </w:rPr>
        <w:t>Unión del Pueblo Navarro (UPN)</w:t>
      </w:r>
      <w:r w:rsidRPr="00AF0233">
        <w:rPr>
          <w:rFonts w:ascii="Calibri" w:hAnsi="Calibri" w:cs="Calibri"/>
          <w:sz w:val="22"/>
          <w:szCs w:val="22"/>
        </w:rPr>
        <w:t xml:space="preserve">, </w:t>
      </w:r>
      <w:r w:rsidR="00D76DC5" w:rsidRPr="00AF0233">
        <w:rPr>
          <w:rFonts w:ascii="Calibri" w:hAnsi="Calibri" w:cs="Calibri"/>
          <w:sz w:val="22"/>
          <w:szCs w:val="22"/>
        </w:rPr>
        <w:t xml:space="preserve">sobre </w:t>
      </w:r>
      <w:r w:rsidR="00C45E0E" w:rsidRPr="00AF0233">
        <w:rPr>
          <w:rFonts w:ascii="Calibri" w:hAnsi="Calibri" w:cs="Calibri"/>
          <w:sz w:val="22"/>
          <w:szCs w:val="22"/>
        </w:rPr>
        <w:t xml:space="preserve">petición </w:t>
      </w:r>
      <w:r w:rsidRPr="00AF0233">
        <w:rPr>
          <w:rFonts w:ascii="Calibri" w:hAnsi="Calibri" w:cs="Calibri"/>
          <w:sz w:val="22"/>
          <w:szCs w:val="22"/>
        </w:rPr>
        <w:t>11-2</w:t>
      </w:r>
      <w:r w:rsidR="00165095" w:rsidRPr="00AF0233">
        <w:rPr>
          <w:rFonts w:ascii="Calibri" w:hAnsi="Calibri" w:cs="Calibri"/>
          <w:sz w:val="22"/>
          <w:szCs w:val="22"/>
        </w:rPr>
        <w:t>5</w:t>
      </w:r>
      <w:r w:rsidRPr="00AF0233">
        <w:rPr>
          <w:rFonts w:ascii="Calibri" w:hAnsi="Calibri" w:cs="Calibri"/>
          <w:sz w:val="22"/>
          <w:szCs w:val="22"/>
        </w:rPr>
        <w:t>/PE</w:t>
      </w:r>
      <w:r w:rsidR="00DB4349" w:rsidRPr="00AF0233">
        <w:rPr>
          <w:rFonts w:ascii="Calibri" w:hAnsi="Calibri" w:cs="Calibri"/>
          <w:sz w:val="22"/>
          <w:szCs w:val="22"/>
        </w:rPr>
        <w:t>S</w:t>
      </w:r>
      <w:r w:rsidRPr="00AF0233">
        <w:rPr>
          <w:rFonts w:ascii="Calibri" w:hAnsi="Calibri" w:cs="Calibri"/>
          <w:sz w:val="22"/>
          <w:szCs w:val="22"/>
        </w:rPr>
        <w:t>-00</w:t>
      </w:r>
      <w:r w:rsidR="00730C46" w:rsidRPr="00AF0233">
        <w:rPr>
          <w:rFonts w:ascii="Calibri" w:hAnsi="Calibri" w:cs="Calibri"/>
          <w:sz w:val="22"/>
          <w:szCs w:val="22"/>
        </w:rPr>
        <w:t>134</w:t>
      </w:r>
      <w:r w:rsidRPr="00AF0233">
        <w:rPr>
          <w:rFonts w:ascii="Calibri" w:hAnsi="Calibri" w:cs="Calibri"/>
          <w:sz w:val="22"/>
          <w:szCs w:val="22"/>
        </w:rPr>
        <w:t>, informa lo siguiente:</w:t>
      </w:r>
    </w:p>
    <w:p w14:paraId="3A8EF363" w14:textId="7C5A9981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b/>
          <w:sz w:val="22"/>
          <w:szCs w:val="22"/>
        </w:rPr>
      </w:pPr>
      <w:r w:rsidRPr="00AF0233">
        <w:rPr>
          <w:rFonts w:ascii="Calibri" w:hAnsi="Calibri" w:cs="Calibri"/>
          <w:b/>
          <w:sz w:val="22"/>
          <w:szCs w:val="22"/>
        </w:rPr>
        <w:t>¿Cuál ha sido el cumplimiento del artículo 9 de la Ley Foral 13/2023, de 5 de abril, de lucha contra el racismo y la xenofobia?</w:t>
      </w:r>
    </w:p>
    <w:p w14:paraId="615C488F" w14:textId="3ABFEDAA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b/>
          <w:sz w:val="22"/>
          <w:szCs w:val="22"/>
        </w:rPr>
      </w:pPr>
      <w:r w:rsidRPr="00AF0233">
        <w:rPr>
          <w:rFonts w:ascii="Calibri" w:hAnsi="Calibri" w:cs="Calibri"/>
          <w:b/>
          <w:sz w:val="22"/>
          <w:szCs w:val="22"/>
        </w:rPr>
        <w:t>¿En qué medida han adoptado las diferentes entidades que se mencionan en dicho artículo planes de lucha contra el racismo y/o protocolos de actuación ante casos de discriminación por origen étnico o racial?</w:t>
      </w:r>
    </w:p>
    <w:p w14:paraId="580A66F3" w14:textId="700D59B6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 xml:space="preserve">El artículo 9 </w:t>
      </w:r>
      <w:r w:rsidR="00FD5947" w:rsidRPr="00AF0233">
        <w:rPr>
          <w:rFonts w:ascii="Calibri" w:hAnsi="Calibri" w:cs="Calibri"/>
          <w:sz w:val="22"/>
          <w:szCs w:val="22"/>
        </w:rPr>
        <w:t>de la referida</w:t>
      </w:r>
      <w:r w:rsidR="00FD5947" w:rsidRPr="00AF0233">
        <w:rPr>
          <w:rFonts w:ascii="Calibri" w:hAnsi="Calibri" w:cs="Calibri"/>
          <w:b/>
          <w:sz w:val="22"/>
          <w:szCs w:val="22"/>
        </w:rPr>
        <w:t xml:space="preserve"> </w:t>
      </w:r>
      <w:r w:rsidR="00FD5947" w:rsidRPr="00AF0233">
        <w:rPr>
          <w:rFonts w:ascii="Calibri" w:hAnsi="Calibri" w:cs="Calibri"/>
          <w:sz w:val="22"/>
          <w:szCs w:val="22"/>
        </w:rPr>
        <w:t>Ley Foral 13/2023</w:t>
      </w:r>
      <w:r w:rsidR="00FD5947" w:rsidRPr="00AF0233">
        <w:rPr>
          <w:rFonts w:ascii="Calibri" w:hAnsi="Calibri" w:cs="Calibri"/>
          <w:b/>
          <w:sz w:val="22"/>
          <w:szCs w:val="22"/>
        </w:rPr>
        <w:t xml:space="preserve"> </w:t>
      </w:r>
      <w:r w:rsidRPr="00AF0233">
        <w:rPr>
          <w:rFonts w:ascii="Calibri" w:hAnsi="Calibri" w:cs="Calibri"/>
          <w:sz w:val="22"/>
          <w:szCs w:val="22"/>
        </w:rPr>
        <w:t xml:space="preserve">establece que el Gobierno de Navarra elaborará un Plan de Lucha contra el Racismo y la Xenofobia de Navarra, que será el eje central de actuación en esta materia (las políticas públicas de prevención, protección y reparación de la discriminación por origen étnico o racial que señalaba la Ley Foral en su artículo 1) y cuya duración será de 5 años, debiendo ser renovado y revisado. En este sentido el Plan de lucha contra el racismo y la xenofobia en Navarra 2021-2026, aprobado antes de la publicación de la Ley Foral 13/2023, se encuentra todavía vigente. </w:t>
      </w:r>
    </w:p>
    <w:p w14:paraId="35E2BF6A" w14:textId="4B379BD8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 xml:space="preserve">De acuerdo con lo establecido en la </w:t>
      </w:r>
      <w:r w:rsidR="00FD5947" w:rsidRPr="00AF0233">
        <w:rPr>
          <w:rFonts w:ascii="Calibri" w:hAnsi="Calibri" w:cs="Calibri"/>
          <w:sz w:val="22"/>
          <w:szCs w:val="22"/>
        </w:rPr>
        <w:t xml:space="preserve">citada </w:t>
      </w:r>
      <w:r w:rsidRPr="00AF0233">
        <w:rPr>
          <w:rFonts w:ascii="Calibri" w:hAnsi="Calibri" w:cs="Calibri"/>
          <w:sz w:val="22"/>
          <w:szCs w:val="22"/>
        </w:rPr>
        <w:t xml:space="preserve">Ley Foral y en el propio Plan, el seguimiento del mismo se viene realizando con la participación de las organizaciones que trabajan en la lucha contra el racismo y la xenofobia, así como de personas pertenecientes a minorías étnicas.  </w:t>
      </w:r>
    </w:p>
    <w:p w14:paraId="6C3610C4" w14:textId="0051C41C" w:rsidR="00730C46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La ejecución del Plan es guiada por el establecimiento de unos</w:t>
      </w:r>
      <w:r w:rsidRPr="00AF0233">
        <w:rPr>
          <w:rFonts w:ascii="Calibri" w:hAnsi="Calibri" w:cs="Calibri"/>
          <w:b/>
          <w:sz w:val="22"/>
          <w:szCs w:val="22"/>
          <w:lang w:val="es-ES_tradnl"/>
        </w:rPr>
        <w:t xml:space="preserve">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planes operativos anuales 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>(</w:t>
      </w:r>
      <w:proofErr w:type="spellStart"/>
      <w:r w:rsidR="00FD5947" w:rsidRPr="00AF0233">
        <w:rPr>
          <w:rFonts w:ascii="Calibri" w:hAnsi="Calibri" w:cs="Calibri"/>
          <w:sz w:val="22"/>
          <w:szCs w:val="22"/>
          <w:lang w:val="es-ES_tradnl"/>
        </w:rPr>
        <w:t>POAs</w:t>
      </w:r>
      <w:proofErr w:type="spellEnd"/>
      <w:r w:rsidR="00FD5947" w:rsidRPr="00AF0233">
        <w:rPr>
          <w:rFonts w:ascii="Calibri" w:hAnsi="Calibri" w:cs="Calibri"/>
          <w:sz w:val="22"/>
          <w:szCs w:val="22"/>
          <w:lang w:val="es-ES_tradnl"/>
        </w:rPr>
        <w:t xml:space="preserve"> en adelante)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que recogen las acciones a desarrollar por cada departamento o institución implicada. El contenido de estos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POAs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y la ejecución de cada uno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 xml:space="preserve"> de ellos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es compartida y seguida a través de tres espacios de relación: uno dirigido a toda la ciudadanía interesada en conocer el trabajo que se está desarrollando en el que pueden participar personas a título particular o en representación de asociaciones de personas migrantes, 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>vecinales o de minorías étnicas;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otro de relación técnico interdepartamental e interadministrativo dirigido al personal técnico de distintas Administraciones Públicas (el propio Gobierno de Navarra y las entidades locales) y de Entidades Sociales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 xml:space="preserve">;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y el último de relación institucional dirigido a las direcciones generales de los Departamentos de Gobierno de Navarra implicados. El resultado del seguimiento queda contemplado en los informes de seguimiento anuales. </w:t>
      </w:r>
    </w:p>
    <w:p w14:paraId="1028E535" w14:textId="5BDD1CCB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lastRenderedPageBreak/>
        <w:t>Una vez finalizado el periodo de ejecución del Plan de Lucha contra el racismo y la xenofobia, está prevista la realización de una evaluación del mismo.</w:t>
      </w:r>
    </w:p>
    <w:p w14:paraId="41BF4F7B" w14:textId="4CA6818C" w:rsidR="00730C46" w:rsidRPr="00AF0233" w:rsidRDefault="00FD5947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Por otro lado, el apartado 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2 del artículo 9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de la </w:t>
      </w:r>
      <w:r w:rsidRPr="00AF0233">
        <w:rPr>
          <w:rFonts w:ascii="Calibri" w:hAnsi="Calibri" w:cs="Calibri"/>
          <w:sz w:val="22"/>
          <w:szCs w:val="22"/>
        </w:rPr>
        <w:t>Ley Foral 13/2023</w:t>
      </w:r>
      <w:r w:rsidRPr="00AF0233">
        <w:rPr>
          <w:rFonts w:ascii="Calibri" w:hAnsi="Calibri" w:cs="Calibri"/>
          <w:b/>
          <w:sz w:val="22"/>
          <w:szCs w:val="22"/>
        </w:rPr>
        <w:t xml:space="preserve"> </w:t>
      </w:r>
      <w:r w:rsidRPr="00AF0233">
        <w:rPr>
          <w:rFonts w:ascii="Calibri" w:hAnsi="Calibri" w:cs="Calibri"/>
          <w:sz w:val="22"/>
          <w:szCs w:val="22"/>
          <w:lang w:val="es-ES_tradnl"/>
        </w:rPr>
        <w:t>determina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 que e</w:t>
      </w:r>
      <w:r w:rsidRPr="00AF0233">
        <w:rPr>
          <w:rFonts w:ascii="Calibri" w:hAnsi="Calibri" w:cs="Calibri"/>
          <w:sz w:val="22"/>
          <w:szCs w:val="22"/>
          <w:lang w:val="es-ES_tradnl"/>
        </w:rPr>
        <w:t>l Gobierno de Navarra impulsará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 y dará el apoyo técnico y económico necesario a las entidades locales para que desarrollen medidas y planes de lucha contra el racismo y la xenofobia que den respuesta a las manifestaciones específicas del racismo en su ámbito competencial. </w:t>
      </w:r>
    </w:p>
    <w:p w14:paraId="66B920BB" w14:textId="2AC4AC01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En este sentido, desde la Dirección General de Políticas Migratorias se ha promovido la convocatoria de subvenciones cuyo objeto es financiar la contratación de figuras técnicas de convivencia intercultural y lucha contra el racismo y la xenofobia por parte de las entidades locales. En el año 2023 se publicó una convocatoria anual a tal fin; 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>S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in embargo, se valoró necesario dar una mayor estabilidad al trabajo que estas figuras desarrollaban en el ámbito local, así como incrementar el presupuesto dirigido a tal fin y por este motivo, el pasado año 2024 se publicaron dos convocatorias plurianuales 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 xml:space="preserve">2024-2026. Así, las convocatorias de ayudas referidas son:  </w:t>
      </w:r>
    </w:p>
    <w:p w14:paraId="672990B4" w14:textId="77777777" w:rsidR="00730C46" w:rsidRPr="00AF0233" w:rsidRDefault="00730C46" w:rsidP="00730C46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7" w:tgtFrame="_blank" w:tooltip="Orden Foral 86E/2022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Orden Foral 86E/2022</w:t>
        </w:r>
      </w:hyperlink>
      <w:r w:rsidRPr="00AF0233">
        <w:rPr>
          <w:rFonts w:ascii="Calibri" w:hAnsi="Calibri" w:cs="Calibri"/>
          <w:sz w:val="22"/>
          <w:szCs w:val="22"/>
          <w:lang w:val="es-ES_tradnl"/>
        </w:rPr>
        <w:t>, de 18 de noviembre, del Consejero de Políticas Migratorias y Justicia, por la que se aprueba, mediante tramitación anticipada, la convocatoria de subvenciones a entidades locales para la financiación de la figura de técnica/o de convivencia intercultural y lucha contra el racismo y la xenofobia (TECIR), para el año 2023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40A14360" w14:textId="77777777" w:rsidR="00730C46" w:rsidRPr="00AF0233" w:rsidRDefault="00730C46" w:rsidP="00730C46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8" w:tgtFrame="_blank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Orden Foral 61E/2023, de 10  de mayo</w:t>
        </w:r>
      </w:hyperlink>
      <w:r w:rsidRPr="00AF0233">
        <w:rPr>
          <w:rFonts w:ascii="Calibri" w:hAnsi="Calibri" w:cs="Calibri"/>
          <w:sz w:val="22"/>
          <w:szCs w:val="22"/>
          <w:lang w:val="es-ES_tradnl"/>
        </w:rPr>
        <w:t>, del Consejero de Políticas Migratorias y Justicia, por la que se aprueba la convocatoria de subvenciones a entidades locales para la financiación de la figura de técnica/o de convivencia intercultural y lucha contra el racismo y la xenofobia (TECIR), para el año 2023</w:t>
      </w:r>
      <w:r w:rsidR="00FD5947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05A288A1" w14:textId="77777777" w:rsidR="00730C46" w:rsidRPr="00AF0233" w:rsidRDefault="00215D3F" w:rsidP="00730C46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9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Orden Foral 132E/2023, de 24 de noviembre</w:t>
        </w:r>
      </w:hyperlink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, de la </w:t>
      </w:r>
      <w:r w:rsidRPr="00AF0233">
        <w:rPr>
          <w:rFonts w:ascii="Calibri" w:hAnsi="Calibri" w:cs="Calibri"/>
          <w:sz w:val="22"/>
          <w:szCs w:val="22"/>
          <w:lang w:val="es-ES_tradnl"/>
        </w:rPr>
        <w:t>C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onsejera de Vivienda, Juventud y Políticas Migratorias, por la que se aprueba la convocatoria de la subvención "Convocatoria plurianual de subvenciones a entidades locales para la financiación de la figura de técnica/o de convivencia intercultural y lucha contra el racismo y la xenofobia (TECIR)". </w:t>
      </w:r>
    </w:p>
    <w:p w14:paraId="515C6ABD" w14:textId="0254555E" w:rsidR="00730C46" w:rsidRPr="00AF0233" w:rsidRDefault="00730C46" w:rsidP="00AF0233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10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Resolución 81E/2024</w:t>
        </w:r>
      </w:hyperlink>
      <w:r w:rsidRPr="00AF0233">
        <w:rPr>
          <w:rFonts w:ascii="Calibri" w:hAnsi="Calibri" w:cs="Calibri"/>
          <w:sz w:val="22"/>
          <w:szCs w:val="22"/>
          <w:lang w:val="es-ES_tradnl"/>
        </w:rPr>
        <w:t xml:space="preserve">, de 9 de junio, de la 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D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irectora </w:t>
      </w:r>
      <w:proofErr w:type="spellStart"/>
      <w:r w:rsidR="00215D3F" w:rsidRPr="00AF0233">
        <w:rPr>
          <w:rFonts w:ascii="Calibri" w:hAnsi="Calibri" w:cs="Calibri"/>
          <w:sz w:val="22"/>
          <w:szCs w:val="22"/>
          <w:lang w:val="es-ES_tradnl"/>
        </w:rPr>
        <w:t>G</w:t>
      </w:r>
      <w:r w:rsidRPr="00AF0233">
        <w:rPr>
          <w:rFonts w:ascii="Calibri" w:hAnsi="Calibri" w:cs="Calibri"/>
          <w:sz w:val="22"/>
          <w:szCs w:val="22"/>
          <w:lang w:val="es-ES_tradnl"/>
        </w:rPr>
        <w:t>general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de Políticas Migratorias, por la que se aprueba la convocatoria de la subvención "Convocatoria plurianual de subvenciones a entidades locales para la financiación de la figura de técnica/o de convivencia intercultural y lucha contra el racismo y la xenofobia (TECIR) 2.ª convocatoria 2024</w:t>
      </w:r>
    </w:p>
    <w:p w14:paraId="48E1057D" w14:textId="785BACF2" w:rsidR="00215D3F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lastRenderedPageBreak/>
        <w:t xml:space="preserve">En este momento las entidades locales 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 xml:space="preserve">que </w:t>
      </w:r>
      <w:r w:rsidRPr="00AF0233">
        <w:rPr>
          <w:rFonts w:ascii="Calibri" w:hAnsi="Calibri" w:cs="Calibri"/>
          <w:sz w:val="22"/>
          <w:szCs w:val="22"/>
          <w:lang w:val="es-ES_tradnl"/>
        </w:rPr>
        <w:t>cuenta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n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con figura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 xml:space="preserve"> TECIR son las siguientes</w:t>
      </w:r>
      <w:r w:rsidRPr="00AF0233">
        <w:rPr>
          <w:rFonts w:ascii="Calibri" w:hAnsi="Calibri" w:cs="Calibri"/>
          <w:sz w:val="22"/>
          <w:szCs w:val="22"/>
          <w:lang w:val="es-ES_tradnl"/>
        </w:rPr>
        <w:t>:</w:t>
      </w:r>
    </w:p>
    <w:p w14:paraId="7B9C6B44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de Fitero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  <w:r w:rsidRPr="00AF0233">
        <w:rPr>
          <w:rFonts w:ascii="Calibri" w:hAnsi="Calibri" w:cs="Calibri"/>
          <w:sz w:val="22"/>
          <w:szCs w:val="22"/>
          <w:lang w:val="es-ES_tradnl"/>
        </w:rPr>
        <w:tab/>
      </w:r>
    </w:p>
    <w:p w14:paraId="3ACC0E42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de Pamplona-Iruña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  <w:r w:rsidRPr="00AF0233">
        <w:rPr>
          <w:rFonts w:ascii="Calibri" w:hAnsi="Calibri" w:cs="Calibri"/>
          <w:sz w:val="22"/>
          <w:szCs w:val="22"/>
          <w:lang w:val="es-ES_tradnl"/>
        </w:rPr>
        <w:tab/>
      </w:r>
    </w:p>
    <w:p w14:paraId="414BCBE0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Ayuntamiento de Burlada - 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Burlatako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Udala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. </w:t>
      </w:r>
    </w:p>
    <w:p w14:paraId="13D9184F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Mancomunidad de Servicios Sociales de Base de Olite: </w:t>
      </w:r>
      <w:r w:rsidRPr="00AF0233">
        <w:rPr>
          <w:rFonts w:ascii="Calibri" w:hAnsi="Calibri" w:cs="Calibri"/>
          <w:sz w:val="22"/>
          <w:szCs w:val="22"/>
          <w:lang w:val="es-ES_tradnl"/>
        </w:rPr>
        <w:tab/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Ujué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San Martín de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Unx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Olite-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Erriberri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Beire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Pitillas, Murillo El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Cuende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Traibuenas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>, Rada y Caparroso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0A865091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de Cintruénigo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  <w:r w:rsidRPr="00AF0233">
        <w:rPr>
          <w:rFonts w:ascii="Calibri" w:hAnsi="Calibri" w:cs="Calibri"/>
          <w:sz w:val="22"/>
          <w:szCs w:val="22"/>
          <w:lang w:val="es-ES_tradnl"/>
        </w:rPr>
        <w:tab/>
      </w:r>
    </w:p>
    <w:p w14:paraId="5DCD7130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Agrupación SS de Artajona: Larraga, Miranda de Arga y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Berbinzana</w:t>
      </w:r>
      <w:proofErr w:type="spellEnd"/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2D7C2637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Lerín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AF0233">
        <w:rPr>
          <w:rFonts w:ascii="Calibri" w:hAnsi="Calibri" w:cs="Calibri"/>
          <w:sz w:val="22"/>
          <w:szCs w:val="22"/>
          <w:lang w:val="es-ES_tradnl"/>
        </w:rPr>
        <w:tab/>
      </w:r>
    </w:p>
    <w:p w14:paraId="0ED2D56A" w14:textId="5009FB43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de Berriozar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4951F748" w14:textId="29F92C22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Ayuntamiento de Tafalla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88872B3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Mancomunidad de SSB de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Carcastillo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: Murillo el Fruto, Santacara, Mélida y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Figarol</w:t>
      </w:r>
      <w:proofErr w:type="spellEnd"/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55A52C4B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Mancomunidad de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Lazagurría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: Lodosa, Mendavia,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Sartaguda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y Sesma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3CA12F55" w14:textId="77777777" w:rsidR="00730C46" w:rsidRPr="00AF0233" w:rsidRDefault="00730C46" w:rsidP="00215D3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Ayuntamiento Valle de Egüés: Alzuza,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Ardanaz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Azpa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Badostáin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Egüés, Elcano, Elía, Ibiricu,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Olaz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Sagaseta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Ustárroz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Gorraiz, Sarriguren,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Amocáin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Echalaz,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Egulbati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Elizmendi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y Eransus. </w:t>
      </w:r>
    </w:p>
    <w:p w14:paraId="6C7FB7ED" w14:textId="6D1702FF" w:rsidR="00730C46" w:rsidRPr="00AF0233" w:rsidRDefault="00730C46" w:rsidP="00AF023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Mancomunidad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Sakana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-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Anitzartean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: Ziordia,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Olatzagutia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Altsasu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Urdiain, Iturmendi,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Bakaiku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Etxarri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Aranatz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[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Lizarragabengoa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], Arbizu,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Ergoiena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[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Lizarraga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Unanu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Dorrao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],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Lakuntza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Arruazu,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Uharte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Arakil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Irañeta,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Arakil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[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Ihabar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Murgindueta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Hiriberri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Egiarreta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Satrustegi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Zuhatzu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Aizkorbe,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Errotz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Izurdiaga,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Urritzola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Etxarren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Etxeberri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Ekai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] e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Irurtzun</w:t>
      </w:r>
      <w:proofErr w:type="spellEnd"/>
      <w:r w:rsidR="00215D3F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2F1FE7D9" w14:textId="26DAD74A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 xml:space="preserve">EL Servicio Ayllu de Convivencia Intercultural y Lucha contra el Racismo y la Xenofobia de la Direccion General de Politicas Migratorias está impulsando la Red TECIR para trabajar colaborativamente y de manera coordinada con estas figuras con el objetivo de lograr la convivencia intercultural y la plena inclusión de toda la población en las diferentes zonas de la Comunidad Foral, con actuaciones basadas en una intervención comunitaria. </w:t>
      </w:r>
    </w:p>
    <w:p w14:paraId="19560963" w14:textId="34820607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Por otro lado, la Dirección General de Politicas Migratorias también ha previsto la necesidad de que las entidades locales desarrollen proyectos de convivencia intercultural y lucha contra el racismo y la xenofobia y la necesidad de financiación para su desarrollo. En este sentido se ha</w:t>
      </w:r>
      <w:r w:rsidR="00215D3F" w:rsidRPr="00AF0233">
        <w:rPr>
          <w:rFonts w:ascii="Calibri" w:hAnsi="Calibri" w:cs="Calibri"/>
          <w:sz w:val="22"/>
          <w:szCs w:val="22"/>
          <w:lang w:val="es-ES_tradnl"/>
        </w:rPr>
        <w:t xml:space="preserve">n aprobado distintas ayudas para financiar la elaboración de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diagnósticos de convivencia intercultural, </w:t>
      </w:r>
      <w:r w:rsidRPr="00AF0233">
        <w:rPr>
          <w:rFonts w:ascii="Calibri" w:hAnsi="Calibri" w:cs="Calibri"/>
          <w:sz w:val="22"/>
          <w:szCs w:val="22"/>
          <w:lang w:val="es-ES_tradnl"/>
        </w:rPr>
        <w:lastRenderedPageBreak/>
        <w:t xml:space="preserve">planificación de medidas y su ejecución, así como el desarrollo de acciones puntuales de sensibilización y promoción de la convivencia en el ámbito de las migraciones, el refugio y la lucha contra el racismo y la xenofobia:  </w:t>
      </w:r>
    </w:p>
    <w:p w14:paraId="14B2EA51" w14:textId="77777777" w:rsidR="00730C46" w:rsidRPr="00AF0233" w:rsidRDefault="00215D3F" w:rsidP="00730C46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11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Orden Foral 5E/2022, de 11 de febrero</w:t>
        </w:r>
      </w:hyperlink>
      <w:r w:rsidR="00730C46" w:rsidRPr="00AF0233">
        <w:rPr>
          <w:rFonts w:ascii="Calibri" w:hAnsi="Calibri" w:cs="Calibri"/>
          <w:sz w:val="22"/>
          <w:szCs w:val="22"/>
          <w:lang w:val="es-ES_tradnl"/>
        </w:rPr>
        <w:t>, del Consejero de Políticas Migratorias y Justicia, por la que se aprueba la convocatoria de subvenciones a entidades locales y entidades de iniciativa social sin ánimo de lucro para proyectos de promoción de la convivencia intercultural y lucha contra el racismo y la xenofobia, para el año 2022</w:t>
      </w:r>
      <w:r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2ED3E69D" w14:textId="77777777" w:rsidR="00730C46" w:rsidRPr="00AF0233" w:rsidRDefault="00215D3F" w:rsidP="00730C46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12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Orden Foral 86E/2022, de 18 de noviembre</w:t>
        </w:r>
      </w:hyperlink>
      <w:r w:rsidR="00730C46" w:rsidRPr="00AF0233">
        <w:rPr>
          <w:rFonts w:ascii="Calibri" w:hAnsi="Calibri" w:cs="Calibri"/>
          <w:sz w:val="22"/>
          <w:szCs w:val="22"/>
          <w:lang w:val="es-ES_tradnl"/>
        </w:rPr>
        <w:t>, del Consejero de Políticas Migratorias y Justicia, por la que se aprueba, mediante tramitación anticipada, la convocatoria de subvenciones a entidades locales para la financiación de la figura de técnica/o de convivencia intercultural y lucha contra el racismo y la xenofobia (TECIR), para el año 2023</w:t>
      </w:r>
      <w:r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2CFB173D" w14:textId="34DB461F" w:rsidR="00730C46" w:rsidRPr="00AF0233" w:rsidRDefault="00730C46" w:rsidP="00AF0233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hyperlink r:id="rId13" w:tgtFrame="_blank" w:history="1">
        <w:r w:rsidRPr="00AF0233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Resolución 108E/2024</w:t>
        </w:r>
      </w:hyperlink>
      <w:r w:rsidRPr="00AF0233">
        <w:rPr>
          <w:rFonts w:ascii="Calibri" w:hAnsi="Calibri" w:cs="Calibri"/>
          <w:sz w:val="22"/>
          <w:szCs w:val="22"/>
        </w:rPr>
        <w:t xml:space="preserve">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de 12 de julio, de la </w:t>
      </w:r>
      <w:r w:rsidR="00B811B1" w:rsidRPr="00AF0233">
        <w:rPr>
          <w:rFonts w:ascii="Calibri" w:hAnsi="Calibri" w:cs="Calibri"/>
          <w:sz w:val="22"/>
          <w:szCs w:val="22"/>
          <w:lang w:val="es-ES_tradnl"/>
        </w:rPr>
        <w:t>D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irectora </w:t>
      </w:r>
      <w:r w:rsidR="00B811B1" w:rsidRPr="00AF0233">
        <w:rPr>
          <w:rFonts w:ascii="Calibri" w:hAnsi="Calibri" w:cs="Calibri"/>
          <w:sz w:val="22"/>
          <w:szCs w:val="22"/>
          <w:lang w:val="es-ES_tradnl"/>
        </w:rPr>
        <w:t>G</w:t>
      </w:r>
      <w:r w:rsidRPr="00AF0233">
        <w:rPr>
          <w:rFonts w:ascii="Calibri" w:hAnsi="Calibri" w:cs="Calibri"/>
          <w:sz w:val="22"/>
          <w:szCs w:val="22"/>
          <w:lang w:val="es-ES_tradnl"/>
        </w:rPr>
        <w:t>eneral de Políticas Migratorias, por la que se aprueba la convocatoria de subvenciones a entidades locales y entidades de iniciativa social sin ánimo de lucro para proyectos de promoción de la convivencia intercultural y lucha contra el racismo y xenofobia para el año 2024.</w:t>
      </w:r>
    </w:p>
    <w:p w14:paraId="0CE748D1" w14:textId="5B1DD1E7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Estas mismas convocatorias da respuesta también a lo previsto en el artículo 9.3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 de la </w:t>
      </w:r>
      <w:r w:rsidR="006163F7" w:rsidRPr="00AF0233">
        <w:rPr>
          <w:rFonts w:ascii="Calibri" w:hAnsi="Calibri" w:cs="Calibri"/>
          <w:sz w:val="22"/>
          <w:szCs w:val="22"/>
        </w:rPr>
        <w:t>Ley Foral 13/2023</w:t>
      </w:r>
      <w:r w:rsidR="006163F7" w:rsidRPr="00AF0233">
        <w:rPr>
          <w:rFonts w:ascii="Calibri" w:hAnsi="Calibri" w:cs="Calibri"/>
          <w:b/>
          <w:sz w:val="22"/>
          <w:szCs w:val="22"/>
        </w:rPr>
        <w:t xml:space="preserve">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puesto que también se dirigen a las entidades sociales. </w:t>
      </w:r>
    </w:p>
    <w:p w14:paraId="1E974312" w14:textId="220A5F11" w:rsidR="00730C46" w:rsidRPr="00AF0233" w:rsidRDefault="006163F7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Por su parte e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l </w:t>
      </w:r>
      <w:r w:rsidRPr="00AF0233">
        <w:rPr>
          <w:rFonts w:ascii="Calibri" w:hAnsi="Calibri" w:cs="Calibri"/>
          <w:sz w:val="22"/>
          <w:szCs w:val="22"/>
          <w:lang w:val="es-ES_tradnl"/>
        </w:rPr>
        <w:t>artículo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 9.4 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de la </w:t>
      </w:r>
      <w:r w:rsidRPr="00AF0233">
        <w:rPr>
          <w:rFonts w:ascii="Calibri" w:hAnsi="Calibri" w:cs="Calibri"/>
          <w:sz w:val="22"/>
          <w:szCs w:val="22"/>
        </w:rPr>
        <w:t>Ley Foral 13/2023</w:t>
      </w:r>
      <w:r w:rsidRPr="00AF0233">
        <w:rPr>
          <w:rFonts w:ascii="Calibri" w:hAnsi="Calibri" w:cs="Calibri"/>
          <w:b/>
          <w:sz w:val="22"/>
          <w:szCs w:val="22"/>
        </w:rPr>
        <w:t xml:space="preserve"> 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>establece que el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Gobierno de Navarra velará por 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>que las administraciones corporativas, organizaciones empresariales y sindicales, entidades sin ánimo de lucro, consorcios y todo tipo de entidades que gestionen servicios públicos dispongan de medidas específicas o protocolos contra el racismo y la xenofobia.</w:t>
      </w:r>
    </w:p>
    <w:p w14:paraId="6C005AB4" w14:textId="02EDC1FB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En este sentido, el Servicio de Lucha contra el Racismo y la Xenofobia y el personal de la 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Dirección General de Políticas Migratorias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han participado en diferentes espacios de coordinación interdepartamental para el análisis de la normativa y procedimientos para identificar y eliminar contenidos discriminatorios por raza u origen étnico o migrante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, tales como el </w:t>
      </w:r>
      <w:r w:rsidRPr="00AF0233">
        <w:rPr>
          <w:rFonts w:ascii="Calibri" w:hAnsi="Calibri" w:cs="Calibri"/>
          <w:sz w:val="22"/>
          <w:szCs w:val="22"/>
          <w:lang w:val="es-ES_tradnl"/>
        </w:rPr>
        <w:t>Plan Estratégico de Inclusión Social de Navarra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, el </w:t>
      </w:r>
      <w:r w:rsidRPr="00AF0233">
        <w:rPr>
          <w:rFonts w:ascii="Calibri" w:hAnsi="Calibri" w:cs="Calibri"/>
          <w:sz w:val="22"/>
          <w:szCs w:val="22"/>
          <w:lang w:val="es-ES_tradnl"/>
        </w:rPr>
        <w:t>Plan de Salud de Navarra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, el III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Plan Integral de Apoyo a la Familia, Infancia y la Adolescencia de Navarra (2017-2023)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, la E</w:t>
      </w:r>
      <w:r w:rsidRPr="00AF0233">
        <w:rPr>
          <w:rFonts w:ascii="Calibri" w:hAnsi="Calibri" w:cs="Calibri"/>
          <w:sz w:val="22"/>
          <w:szCs w:val="22"/>
          <w:lang w:val="es-ES_tradnl"/>
        </w:rPr>
        <w:t>strategia de Lucha contra la Despoblación de Navarra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, así como el </w:t>
      </w:r>
      <w:r w:rsidRPr="00AF0233">
        <w:rPr>
          <w:rFonts w:ascii="Calibri" w:hAnsi="Calibri" w:cs="Calibri"/>
          <w:sz w:val="22"/>
          <w:szCs w:val="22"/>
          <w:lang w:val="es-ES_tradnl"/>
        </w:rPr>
        <w:t>Protocolo de Coordinación operativa para la acogida de menores migrantes.</w:t>
      </w:r>
    </w:p>
    <w:p w14:paraId="184726C9" w14:textId="76377380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lastRenderedPageBreak/>
        <w:t xml:space="preserve">Se continúa colaborando desde 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la referida </w:t>
      </w:r>
      <w:r w:rsidRPr="00AF0233">
        <w:rPr>
          <w:rFonts w:ascii="Calibri" w:hAnsi="Calibri" w:cs="Calibri"/>
          <w:sz w:val="22"/>
          <w:szCs w:val="22"/>
          <w:lang w:val="es-ES_tradnl"/>
        </w:rPr>
        <w:t>Dirección General con todos los Departamentos que solicitan su participación en el desarrollo de nuevos Planes, Estrategias o Procedimientos, de cara a incorporar una perspectiva antirracista e intercultural en los mismos (en estos espacios también participan entidades sociales, organizaciones empresariales, administraciones corporativas,… ): Plan Estratégico de Inclusión Social en fase de diseño, Plan Estratégico de Servicios Sociales en fase de diagnóstico,  Estrategia Integral de Apoyo a la Familia, la Infancia y la Adolescencia de Navarra en fase de elaboración,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 entre otros. </w:t>
      </w:r>
    </w:p>
    <w:p w14:paraId="4618560F" w14:textId="4856F3FB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De la misma manera el SARX ha colaborado con entidades sociales y administraciones públicas en diferentes ámbitos:</w:t>
      </w:r>
    </w:p>
    <w:p w14:paraId="2EAA527F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Protocolo de prevención, detección y actuación ante situaciones de racismo, xenofobia y otras formas de intolerancia /odio de Fundación Ilundain. </w:t>
      </w:r>
    </w:p>
    <w:p w14:paraId="572B8BD5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Análisis de las Bases de la Convocatoria para la Concesión de ayudas por nacimiento del Ayto. de Valtierra ante incidencia reportada en el propio Servicio. </w:t>
      </w:r>
    </w:p>
    <w:p w14:paraId="3CA03EF9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Cesión de datos anonimizados a Trabajo Fin de Máster relativo a la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infradenuncia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 xml:space="preserve"> (Guardia Civil de Navarra).</w:t>
      </w:r>
    </w:p>
    <w:p w14:paraId="188E8080" w14:textId="1068FB7D" w:rsidR="00730C46" w:rsidRPr="00AF0233" w:rsidRDefault="00730C46" w:rsidP="00AF023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Cesión de datos anonimizados a la Oficina de Análisis y Prospección del Gobierno de Navarra relacionados con la discriminación étnico racial en el ámbito del empleo.</w:t>
      </w:r>
    </w:p>
    <w:p w14:paraId="2DA3A497" w14:textId="26849891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Asimismo, el SARX realiza un trabajo de difusión, reuniones y mesas de trabajo con entidades sociales sin ánimo de lucro y entidades que gestionan servicios públicos de la administración pública con el ánimo de abordar las causas subyacentes del racismo y la xenofobia, y que, como medida específica frente al racismo, identifiquen al Servicio como servicio especializado en racismo y xenofobia en Navarra. Para lo cual se abordan temas relativos al funcionamiento, protocolo, metodología del servicio y cómo realizar derivaciones al mismo. </w:t>
      </w:r>
    </w:p>
    <w:p w14:paraId="3852A6E7" w14:textId="47DDC852" w:rsidR="00730C46" w:rsidRPr="00AF0233" w:rsidRDefault="006163F7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Finalmente, e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>l artículo 9.5 de la Ley Foral 13/2023 también prevé el fomento de la elaboración e implementación de medidas y protocolos contra el racismo y la xenofobia en las empresas y organizaciones estableciendo que el Gobierno de Navarra les prestar</w:t>
      </w:r>
      <w:r w:rsidRPr="00AF0233">
        <w:rPr>
          <w:rFonts w:ascii="Calibri" w:hAnsi="Calibri" w:cs="Calibri"/>
          <w:sz w:val="22"/>
          <w:szCs w:val="22"/>
          <w:lang w:val="es-ES_tradnl"/>
        </w:rPr>
        <w:t>á</w:t>
      </w:r>
      <w:r w:rsidR="00730C46" w:rsidRPr="00AF0233">
        <w:rPr>
          <w:rFonts w:ascii="Calibri" w:hAnsi="Calibri" w:cs="Calibri"/>
          <w:sz w:val="22"/>
          <w:szCs w:val="22"/>
          <w:lang w:val="es-ES_tradnl"/>
        </w:rPr>
        <w:t xml:space="preserve"> apoyo y asesoramiento para elaborarlos.</w:t>
      </w:r>
    </w:p>
    <w:p w14:paraId="1E78F5AB" w14:textId="225ABCDF" w:rsidR="00730C46" w:rsidRPr="00AF0233" w:rsidRDefault="00730C46" w:rsidP="00AF0233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En este sentido, en el POA 2024 del Plan de Lucha contra el Racismo y la Xenofobia se incorporó la 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m</w:t>
      </w:r>
      <w:r w:rsidRPr="00AF0233">
        <w:rPr>
          <w:rFonts w:ascii="Calibri" w:hAnsi="Calibri" w:cs="Calibri"/>
          <w:sz w:val="22"/>
          <w:szCs w:val="22"/>
          <w:lang w:val="es-ES_tradnl"/>
        </w:rPr>
        <w:t>edida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 xml:space="preserve"> relativa a a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poyo a las entidades del tercer sector, sindicatos y organizaciones que llevan a cabo </w:t>
      </w:r>
      <w:r w:rsidRPr="00AF0233">
        <w:rPr>
          <w:rFonts w:ascii="Calibri" w:hAnsi="Calibri" w:cs="Calibri"/>
          <w:sz w:val="22"/>
          <w:szCs w:val="22"/>
          <w:lang w:val="es-ES_tradnl"/>
        </w:rPr>
        <w:lastRenderedPageBreak/>
        <w:t xml:space="preserve">laborales de acompañamiento y asesoría de víctimas, denuncia, derivación, atención. La acción que se ha desarrollado al respecto 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ha sido identificar</w:t>
      </w:r>
      <w:r w:rsidRPr="00AF0233">
        <w:rPr>
          <w:rFonts w:ascii="Calibri" w:hAnsi="Calibri" w:cs="Calibri"/>
          <w:sz w:val="22"/>
          <w:szCs w:val="22"/>
          <w:lang w:val="es-ES_tradnl"/>
        </w:rPr>
        <w:t xml:space="preserve"> a sindicatos y organizaciones que incluyeran servicios específicos de atención a personas migrantes: </w:t>
      </w:r>
    </w:p>
    <w:p w14:paraId="217564A2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UGT: hasta el año 2023 el sindicato contaba con Centros de Información y asesoramiento sociolaboral para inmigrantes (Proyecto subvencionado por la Dirección General de Integración y Atención Humanitaria y cofinanciado por el Fondo Social </w:t>
      </w:r>
      <w:proofErr w:type="spellStart"/>
      <w:r w:rsidRPr="00AF0233">
        <w:rPr>
          <w:rFonts w:ascii="Calibri" w:hAnsi="Calibri" w:cs="Calibri"/>
          <w:sz w:val="22"/>
          <w:szCs w:val="22"/>
          <w:lang w:val="es-ES_tradnl"/>
        </w:rPr>
        <w:t>Eurepeo</w:t>
      </w:r>
      <w:proofErr w:type="spellEnd"/>
      <w:r w:rsidRPr="00AF0233">
        <w:rPr>
          <w:rFonts w:ascii="Calibri" w:hAnsi="Calibri" w:cs="Calibri"/>
          <w:sz w:val="22"/>
          <w:szCs w:val="22"/>
          <w:lang w:val="es-ES_tradnl"/>
        </w:rPr>
        <w:t>), sin embargo, a partir de ese año no se da continuidad al servicio.</w:t>
      </w:r>
    </w:p>
    <w:p w14:paraId="2FA26794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CCOO: cuenta con cuenta con la sección de juventud, nuevas realidades de trabajo, medio ambiente y movilidad sostenible y políticas migratorias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.</w:t>
      </w:r>
    </w:p>
    <w:p w14:paraId="046C729C" w14:textId="77777777" w:rsidR="00730C46" w:rsidRPr="00AF0233" w:rsidRDefault="00730C46" w:rsidP="00730C46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 xml:space="preserve">ELA: cuenta con un Área de Inmigración visible en su página web donde se recogen noticias, documentos, campañas e información de interés. </w:t>
      </w:r>
    </w:p>
    <w:p w14:paraId="683BF792" w14:textId="6570B929" w:rsidR="006163F7" w:rsidRPr="00AF0233" w:rsidRDefault="00730C46" w:rsidP="006163F7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AF0233">
        <w:rPr>
          <w:rFonts w:ascii="Calibri" w:hAnsi="Calibri" w:cs="Calibri"/>
          <w:sz w:val="22"/>
          <w:szCs w:val="22"/>
          <w:lang w:val="es-ES_tradnl"/>
        </w:rPr>
        <w:t>LAB: A partir de 2022 crea una Secretaría Antirracista, cuenta con un Plan Estratégico Antirracista, una sección de noticias especificas relacionadas con racismo, además ofrece acciones de formación en de</w:t>
      </w:r>
      <w:r w:rsidR="006163F7" w:rsidRPr="00AF0233">
        <w:rPr>
          <w:rFonts w:ascii="Calibri" w:hAnsi="Calibri" w:cs="Calibri"/>
          <w:sz w:val="22"/>
          <w:szCs w:val="22"/>
          <w:lang w:val="es-ES_tradnl"/>
        </w:rPr>
        <w:t>rechos laborales y organización.</w:t>
      </w:r>
    </w:p>
    <w:p w14:paraId="5F9590A0" w14:textId="77777777" w:rsidR="006163F7" w:rsidRPr="00AF0233" w:rsidRDefault="006163F7" w:rsidP="006163F7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Navarra.</w:t>
      </w:r>
    </w:p>
    <w:p w14:paraId="5F4EB28E" w14:textId="03F2D6CF" w:rsidR="00AF0233" w:rsidRPr="00AF0233" w:rsidRDefault="00AF0233" w:rsidP="00AF0233">
      <w:pPr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>En pamplona, 8 de abril de 2025</w:t>
      </w:r>
    </w:p>
    <w:p w14:paraId="2C05A143" w14:textId="411C9DA7" w:rsidR="006163F7" w:rsidRPr="00AF0233" w:rsidRDefault="00AF0233" w:rsidP="006163F7">
      <w:pPr>
        <w:rPr>
          <w:rFonts w:ascii="Calibri" w:hAnsi="Calibri" w:cs="Calibri"/>
          <w:sz w:val="22"/>
          <w:szCs w:val="22"/>
        </w:rPr>
      </w:pPr>
      <w:r w:rsidRPr="00AF0233">
        <w:rPr>
          <w:rFonts w:ascii="Calibri" w:hAnsi="Calibri" w:cs="Calibri"/>
          <w:sz w:val="22"/>
          <w:szCs w:val="22"/>
        </w:rPr>
        <w:t xml:space="preserve">La Consejera de Vivienda, Juventud y Políticas Migratorias: </w:t>
      </w:r>
      <w:r w:rsidR="006163F7" w:rsidRPr="00AF0233">
        <w:rPr>
          <w:rFonts w:ascii="Calibri" w:hAnsi="Calibri" w:cs="Calibri"/>
          <w:color w:val="000000"/>
          <w:sz w:val="22"/>
          <w:szCs w:val="22"/>
        </w:rPr>
        <w:t>Begoña Alfaro García</w:t>
      </w:r>
    </w:p>
    <w:sectPr w:rsidR="006163F7" w:rsidRPr="00AF0233" w:rsidSect="002937AF">
      <w:headerReference w:type="first" r:id="rId14"/>
      <w:footerReference w:type="first" r:id="rId15"/>
      <w:pgSz w:w="11901" w:h="16817" w:code="9"/>
      <w:pgMar w:top="2977" w:right="1418" w:bottom="226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4C54" w14:textId="77777777" w:rsidR="00A46C69" w:rsidRDefault="00A46C69">
      <w:r>
        <w:separator/>
      </w:r>
    </w:p>
  </w:endnote>
  <w:endnote w:type="continuationSeparator" w:id="0">
    <w:p w14:paraId="7540059B" w14:textId="77777777" w:rsidR="00A46C69" w:rsidRDefault="00A4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9CF3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BE4A" w14:textId="77777777" w:rsidR="00A46C69" w:rsidRDefault="00A46C69">
      <w:r>
        <w:separator/>
      </w:r>
    </w:p>
  </w:footnote>
  <w:footnote w:type="continuationSeparator" w:id="0">
    <w:p w14:paraId="0C559A24" w14:textId="77777777" w:rsidR="00A46C69" w:rsidRDefault="00A4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CAC2" w14:textId="77777777" w:rsidR="006A7F53" w:rsidRDefault="006A7F5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9EE8D8" wp14:editId="525761A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FD3"/>
    <w:multiLevelType w:val="hybridMultilevel"/>
    <w:tmpl w:val="219220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1D17"/>
    <w:multiLevelType w:val="hybridMultilevel"/>
    <w:tmpl w:val="4C00157E"/>
    <w:lvl w:ilvl="0" w:tplc="764E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251C8"/>
    <w:multiLevelType w:val="hybridMultilevel"/>
    <w:tmpl w:val="953A6964"/>
    <w:lvl w:ilvl="0" w:tplc="221E37BC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6151630">
    <w:abstractNumId w:val="1"/>
  </w:num>
  <w:num w:numId="2" w16cid:durableId="875042740">
    <w:abstractNumId w:val="11"/>
  </w:num>
  <w:num w:numId="3" w16cid:durableId="78527744">
    <w:abstractNumId w:val="3"/>
  </w:num>
  <w:num w:numId="4" w16cid:durableId="647976490">
    <w:abstractNumId w:val="5"/>
  </w:num>
  <w:num w:numId="5" w16cid:durableId="1463571817">
    <w:abstractNumId w:val="14"/>
  </w:num>
  <w:num w:numId="6" w16cid:durableId="1557467568">
    <w:abstractNumId w:val="9"/>
  </w:num>
  <w:num w:numId="7" w16cid:durableId="2078892918">
    <w:abstractNumId w:val="2"/>
  </w:num>
  <w:num w:numId="8" w16cid:durableId="2023625020">
    <w:abstractNumId w:val="10"/>
  </w:num>
  <w:num w:numId="9" w16cid:durableId="1737891893">
    <w:abstractNumId w:val="12"/>
  </w:num>
  <w:num w:numId="10" w16cid:durableId="791634708">
    <w:abstractNumId w:val="7"/>
  </w:num>
  <w:num w:numId="11" w16cid:durableId="5864037">
    <w:abstractNumId w:val="4"/>
  </w:num>
  <w:num w:numId="12" w16cid:durableId="523135690">
    <w:abstractNumId w:val="15"/>
  </w:num>
  <w:num w:numId="13" w16cid:durableId="1718816942">
    <w:abstractNumId w:val="8"/>
  </w:num>
  <w:num w:numId="14" w16cid:durableId="1495102055">
    <w:abstractNumId w:val="0"/>
  </w:num>
  <w:num w:numId="15" w16cid:durableId="2039742848">
    <w:abstractNumId w:val="13"/>
  </w:num>
  <w:num w:numId="16" w16cid:durableId="425539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631E5"/>
    <w:rsid w:val="000729E0"/>
    <w:rsid w:val="00083C0A"/>
    <w:rsid w:val="00093300"/>
    <w:rsid w:val="0009463A"/>
    <w:rsid w:val="000A697F"/>
    <w:rsid w:val="000B64A1"/>
    <w:rsid w:val="000D79CF"/>
    <w:rsid w:val="00116AF7"/>
    <w:rsid w:val="0014013D"/>
    <w:rsid w:val="00165095"/>
    <w:rsid w:val="001671B2"/>
    <w:rsid w:val="00170AFF"/>
    <w:rsid w:val="001B1ACE"/>
    <w:rsid w:val="001F5AE6"/>
    <w:rsid w:val="00215D3F"/>
    <w:rsid w:val="002273FE"/>
    <w:rsid w:val="00247EB5"/>
    <w:rsid w:val="00253366"/>
    <w:rsid w:val="00277C9A"/>
    <w:rsid w:val="00280F08"/>
    <w:rsid w:val="002937AF"/>
    <w:rsid w:val="002F09C8"/>
    <w:rsid w:val="00304004"/>
    <w:rsid w:val="00374714"/>
    <w:rsid w:val="00384363"/>
    <w:rsid w:val="003A51EA"/>
    <w:rsid w:val="003F1206"/>
    <w:rsid w:val="0040475B"/>
    <w:rsid w:val="00413428"/>
    <w:rsid w:val="00443A44"/>
    <w:rsid w:val="004B47C0"/>
    <w:rsid w:val="00524CFD"/>
    <w:rsid w:val="005367EB"/>
    <w:rsid w:val="005B095B"/>
    <w:rsid w:val="005C6849"/>
    <w:rsid w:val="005C6F85"/>
    <w:rsid w:val="005E7244"/>
    <w:rsid w:val="005F55EF"/>
    <w:rsid w:val="005F5C77"/>
    <w:rsid w:val="005F6D5D"/>
    <w:rsid w:val="006160C8"/>
    <w:rsid w:val="006163F7"/>
    <w:rsid w:val="006557F1"/>
    <w:rsid w:val="00663B51"/>
    <w:rsid w:val="00696F6F"/>
    <w:rsid w:val="006A249B"/>
    <w:rsid w:val="006A5952"/>
    <w:rsid w:val="006A7F53"/>
    <w:rsid w:val="007018B0"/>
    <w:rsid w:val="00702071"/>
    <w:rsid w:val="0071169E"/>
    <w:rsid w:val="0072285D"/>
    <w:rsid w:val="0073004C"/>
    <w:rsid w:val="00730C46"/>
    <w:rsid w:val="00734C24"/>
    <w:rsid w:val="00766DD7"/>
    <w:rsid w:val="00767509"/>
    <w:rsid w:val="00793F61"/>
    <w:rsid w:val="007C55BD"/>
    <w:rsid w:val="007C68F3"/>
    <w:rsid w:val="007F2C1A"/>
    <w:rsid w:val="007F433A"/>
    <w:rsid w:val="00834D40"/>
    <w:rsid w:val="008354B9"/>
    <w:rsid w:val="00840386"/>
    <w:rsid w:val="00843157"/>
    <w:rsid w:val="008642B3"/>
    <w:rsid w:val="00890456"/>
    <w:rsid w:val="00893733"/>
    <w:rsid w:val="008A1AC3"/>
    <w:rsid w:val="008A6304"/>
    <w:rsid w:val="008F356A"/>
    <w:rsid w:val="009022B4"/>
    <w:rsid w:val="0090494F"/>
    <w:rsid w:val="00954697"/>
    <w:rsid w:val="00994342"/>
    <w:rsid w:val="009C2ED9"/>
    <w:rsid w:val="009C74F8"/>
    <w:rsid w:val="009E202F"/>
    <w:rsid w:val="009E22FA"/>
    <w:rsid w:val="009E381E"/>
    <w:rsid w:val="00A077F0"/>
    <w:rsid w:val="00A117E7"/>
    <w:rsid w:val="00A2145B"/>
    <w:rsid w:val="00A46C69"/>
    <w:rsid w:val="00A52259"/>
    <w:rsid w:val="00A80D53"/>
    <w:rsid w:val="00A85153"/>
    <w:rsid w:val="00A95321"/>
    <w:rsid w:val="00AF0233"/>
    <w:rsid w:val="00B13A40"/>
    <w:rsid w:val="00B46857"/>
    <w:rsid w:val="00B662C6"/>
    <w:rsid w:val="00B67FDD"/>
    <w:rsid w:val="00B811B1"/>
    <w:rsid w:val="00B96F7E"/>
    <w:rsid w:val="00BB36D2"/>
    <w:rsid w:val="00BD6A02"/>
    <w:rsid w:val="00BE2BD3"/>
    <w:rsid w:val="00C45E0E"/>
    <w:rsid w:val="00CA2943"/>
    <w:rsid w:val="00CC1284"/>
    <w:rsid w:val="00CC1857"/>
    <w:rsid w:val="00CE65F5"/>
    <w:rsid w:val="00D304C8"/>
    <w:rsid w:val="00D75670"/>
    <w:rsid w:val="00D76DC5"/>
    <w:rsid w:val="00D9466D"/>
    <w:rsid w:val="00DA599A"/>
    <w:rsid w:val="00DB3739"/>
    <w:rsid w:val="00DB4349"/>
    <w:rsid w:val="00DF6784"/>
    <w:rsid w:val="00E027FA"/>
    <w:rsid w:val="00E04602"/>
    <w:rsid w:val="00E45FC9"/>
    <w:rsid w:val="00E54191"/>
    <w:rsid w:val="00E8181E"/>
    <w:rsid w:val="00E96713"/>
    <w:rsid w:val="00EB05BE"/>
    <w:rsid w:val="00F037C2"/>
    <w:rsid w:val="00F344C7"/>
    <w:rsid w:val="00F42DAC"/>
    <w:rsid w:val="00FD5947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4709F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  <w:style w:type="character" w:styleId="Hipervnculo">
    <w:name w:val="Hyperlink"/>
    <w:basedOn w:val="Fuentedeprrafopredeter"/>
    <w:unhideWhenUsed/>
    <w:rsid w:val="00730C4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FD5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.navarra.es/es/anuncio/-/texto/2023/112/7" TargetMode="External"/><Relationship Id="rId13" Type="http://schemas.openxmlformats.org/officeDocument/2006/relationships/hyperlink" Target="https://bon.navarra.es/es/anuncio/-/texto/2024/174/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n.navarra.es/es/anuncio/-/texto/2022/255/4" TargetMode="External"/><Relationship Id="rId12" Type="http://schemas.openxmlformats.org/officeDocument/2006/relationships/hyperlink" Target="https://bon.navarra.es/es/anuncio/-/texto/2022/255/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n.navarra.es/es/anuncio/-/texto/2022/50/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on.navarra.es/es/anuncio/-/texto/2024/130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.navarra.es/es/anuncio/-/texto/2024/10/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2122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6</cp:revision>
  <cp:lastPrinted>2024-10-22T07:46:00Z</cp:lastPrinted>
  <dcterms:created xsi:type="dcterms:W3CDTF">2025-05-16T07:36:00Z</dcterms:created>
  <dcterms:modified xsi:type="dcterms:W3CDTF">2025-08-19T06:35:00Z</dcterms:modified>
</cp:coreProperties>
</file>