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9CF" w14:textId="0579D70D" w:rsidR="00730C46" w:rsidRPr="00A049B3" w:rsidRDefault="005C6F85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La</w:t>
      </w:r>
      <w:r w:rsidR="00C45E0E" w:rsidRPr="00A049B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45E0E" w:rsidRPr="00A049B3">
        <w:rPr>
          <w:rFonts w:ascii="Calibri" w:hAnsi="Calibri" w:cs="Calibri"/>
          <w:sz w:val="22"/>
          <w:szCs w:val="22"/>
        </w:rPr>
        <w:t>Consejer</w:t>
      </w:r>
      <w:r w:rsidRPr="00A049B3">
        <w:rPr>
          <w:rFonts w:ascii="Calibri" w:hAnsi="Calibri" w:cs="Calibri"/>
          <w:sz w:val="22"/>
          <w:szCs w:val="22"/>
        </w:rPr>
        <w:t>a</w:t>
      </w:r>
      <w:proofErr w:type="gramEnd"/>
      <w:r w:rsidRPr="00A049B3">
        <w:rPr>
          <w:rFonts w:ascii="Calibri" w:hAnsi="Calibri" w:cs="Calibri"/>
          <w:sz w:val="22"/>
          <w:szCs w:val="22"/>
        </w:rPr>
        <w:t xml:space="preserve"> de </w:t>
      </w:r>
      <w:r w:rsidR="00C45E0E" w:rsidRPr="00A049B3">
        <w:rPr>
          <w:rFonts w:ascii="Calibri" w:hAnsi="Calibri" w:cs="Calibri"/>
          <w:sz w:val="22"/>
          <w:szCs w:val="22"/>
        </w:rPr>
        <w:t>Vivienda, Juventud y Políticas Migratorias</w:t>
      </w:r>
      <w:r w:rsidRPr="00A049B3">
        <w:rPr>
          <w:rFonts w:ascii="Calibri" w:hAnsi="Calibri" w:cs="Calibri"/>
          <w:sz w:val="22"/>
          <w:szCs w:val="22"/>
        </w:rPr>
        <w:t xml:space="preserve"> del Gobierno de Navarra, en relación </w:t>
      </w:r>
      <w:r w:rsidR="00D76DC5" w:rsidRPr="00A049B3">
        <w:rPr>
          <w:rFonts w:ascii="Calibri" w:hAnsi="Calibri" w:cs="Calibri"/>
          <w:sz w:val="22"/>
          <w:szCs w:val="22"/>
        </w:rPr>
        <w:t xml:space="preserve">con la pregunta para su contestación por escrito formulada por </w:t>
      </w:r>
      <w:r w:rsidR="00730C46" w:rsidRPr="00A049B3">
        <w:rPr>
          <w:rFonts w:ascii="Calibri" w:hAnsi="Calibri" w:cs="Calibri"/>
          <w:sz w:val="22"/>
          <w:szCs w:val="22"/>
        </w:rPr>
        <w:t xml:space="preserve">la </w:t>
      </w:r>
      <w:r w:rsidRPr="00A049B3">
        <w:rPr>
          <w:rFonts w:ascii="Calibri" w:hAnsi="Calibri" w:cs="Calibri"/>
          <w:sz w:val="22"/>
          <w:szCs w:val="22"/>
        </w:rPr>
        <w:t>Parlamentari</w:t>
      </w:r>
      <w:r w:rsidR="00730C46" w:rsidRPr="00A049B3">
        <w:rPr>
          <w:rFonts w:ascii="Calibri" w:hAnsi="Calibri" w:cs="Calibri"/>
          <w:sz w:val="22"/>
          <w:szCs w:val="22"/>
        </w:rPr>
        <w:t>a</w:t>
      </w:r>
      <w:r w:rsidR="00890456" w:rsidRPr="00A049B3">
        <w:rPr>
          <w:rFonts w:ascii="Calibri" w:hAnsi="Calibri" w:cs="Calibri"/>
          <w:sz w:val="22"/>
          <w:szCs w:val="22"/>
        </w:rPr>
        <w:t xml:space="preserve"> Foral Ilm</w:t>
      </w:r>
      <w:r w:rsidR="00730C46" w:rsidRPr="00A049B3">
        <w:rPr>
          <w:rFonts w:ascii="Calibri" w:hAnsi="Calibri" w:cs="Calibri"/>
          <w:sz w:val="22"/>
          <w:szCs w:val="22"/>
        </w:rPr>
        <w:t>a</w:t>
      </w:r>
      <w:r w:rsidR="00C45E0E" w:rsidRPr="00A049B3">
        <w:rPr>
          <w:rFonts w:ascii="Calibri" w:hAnsi="Calibri" w:cs="Calibri"/>
          <w:sz w:val="22"/>
          <w:szCs w:val="22"/>
        </w:rPr>
        <w:t>. Sr</w:t>
      </w:r>
      <w:r w:rsidR="00730C46" w:rsidRPr="00A049B3">
        <w:rPr>
          <w:rFonts w:ascii="Calibri" w:hAnsi="Calibri" w:cs="Calibri"/>
          <w:sz w:val="22"/>
          <w:szCs w:val="22"/>
        </w:rPr>
        <w:t>a</w:t>
      </w:r>
      <w:r w:rsidR="0014013D" w:rsidRPr="00A049B3">
        <w:rPr>
          <w:rFonts w:ascii="Calibri" w:hAnsi="Calibri" w:cs="Calibri"/>
          <w:sz w:val="22"/>
          <w:szCs w:val="22"/>
        </w:rPr>
        <w:t>.</w:t>
      </w:r>
      <w:r w:rsidR="00C45E0E" w:rsidRPr="00A049B3">
        <w:rPr>
          <w:rFonts w:ascii="Calibri" w:hAnsi="Calibri" w:cs="Calibri"/>
          <w:sz w:val="22"/>
          <w:szCs w:val="22"/>
        </w:rPr>
        <w:t xml:space="preserve"> </w:t>
      </w:r>
      <w:r w:rsidR="00890456" w:rsidRPr="00A049B3">
        <w:rPr>
          <w:rFonts w:ascii="Calibri" w:hAnsi="Calibri" w:cs="Calibri"/>
          <w:sz w:val="22"/>
          <w:szCs w:val="22"/>
        </w:rPr>
        <w:t>D</w:t>
      </w:r>
      <w:r w:rsidR="00730C46" w:rsidRPr="00A049B3">
        <w:rPr>
          <w:rFonts w:ascii="Calibri" w:hAnsi="Calibri" w:cs="Calibri"/>
          <w:sz w:val="22"/>
          <w:szCs w:val="22"/>
        </w:rPr>
        <w:t>ña</w:t>
      </w:r>
      <w:r w:rsidR="00890456" w:rsidRPr="00A049B3">
        <w:rPr>
          <w:rFonts w:ascii="Calibri" w:hAnsi="Calibri" w:cs="Calibri"/>
          <w:sz w:val="22"/>
          <w:szCs w:val="22"/>
        </w:rPr>
        <w:t xml:space="preserve">. </w:t>
      </w:r>
      <w:r w:rsidR="00730C46" w:rsidRPr="00A049B3">
        <w:rPr>
          <w:rFonts w:ascii="Calibri" w:hAnsi="Calibri" w:cs="Calibri"/>
          <w:sz w:val="22"/>
          <w:szCs w:val="22"/>
        </w:rPr>
        <w:t>Cristina López Mañero</w:t>
      </w:r>
      <w:r w:rsidR="005F6D5D" w:rsidRPr="00A049B3">
        <w:rPr>
          <w:rFonts w:ascii="Calibri" w:hAnsi="Calibri" w:cs="Calibri"/>
          <w:sz w:val="22"/>
          <w:szCs w:val="22"/>
        </w:rPr>
        <w:t xml:space="preserve"> adscrit</w:t>
      </w:r>
      <w:r w:rsidR="00730C46" w:rsidRPr="00A049B3">
        <w:rPr>
          <w:rFonts w:ascii="Calibri" w:hAnsi="Calibri" w:cs="Calibri"/>
          <w:sz w:val="22"/>
          <w:szCs w:val="22"/>
        </w:rPr>
        <w:t>a</w:t>
      </w:r>
      <w:r w:rsidRPr="00A049B3">
        <w:rPr>
          <w:rFonts w:ascii="Calibri" w:hAnsi="Calibri" w:cs="Calibri"/>
          <w:sz w:val="22"/>
          <w:szCs w:val="22"/>
        </w:rPr>
        <w:t xml:space="preserve"> al </w:t>
      </w:r>
      <w:r w:rsidR="00253366" w:rsidRPr="00A049B3">
        <w:rPr>
          <w:rFonts w:ascii="Calibri" w:hAnsi="Calibri" w:cs="Calibri"/>
          <w:sz w:val="22"/>
          <w:szCs w:val="22"/>
        </w:rPr>
        <w:t xml:space="preserve">grupo parlamentario </w:t>
      </w:r>
      <w:r w:rsidR="00730C46" w:rsidRPr="00A049B3">
        <w:rPr>
          <w:rFonts w:ascii="Calibri" w:hAnsi="Calibri" w:cs="Calibri"/>
          <w:sz w:val="22"/>
          <w:szCs w:val="22"/>
        </w:rPr>
        <w:t>Unión del Pueblo Navarro (UPN)</w:t>
      </w:r>
      <w:r w:rsidRPr="00A049B3">
        <w:rPr>
          <w:rFonts w:ascii="Calibri" w:hAnsi="Calibri" w:cs="Calibri"/>
          <w:sz w:val="22"/>
          <w:szCs w:val="22"/>
        </w:rPr>
        <w:t xml:space="preserve">, </w:t>
      </w:r>
      <w:r w:rsidR="00D76DC5" w:rsidRPr="00A049B3">
        <w:rPr>
          <w:rFonts w:ascii="Calibri" w:hAnsi="Calibri" w:cs="Calibri"/>
          <w:sz w:val="22"/>
          <w:szCs w:val="22"/>
        </w:rPr>
        <w:t xml:space="preserve">sobre </w:t>
      </w:r>
      <w:r w:rsidR="00C45E0E" w:rsidRPr="00A049B3">
        <w:rPr>
          <w:rFonts w:ascii="Calibri" w:hAnsi="Calibri" w:cs="Calibri"/>
          <w:sz w:val="22"/>
          <w:szCs w:val="22"/>
        </w:rPr>
        <w:t xml:space="preserve">petición </w:t>
      </w:r>
      <w:r w:rsidRPr="00A049B3">
        <w:rPr>
          <w:rFonts w:ascii="Calibri" w:hAnsi="Calibri" w:cs="Calibri"/>
          <w:sz w:val="22"/>
          <w:szCs w:val="22"/>
        </w:rPr>
        <w:t>11-2</w:t>
      </w:r>
      <w:r w:rsidR="00165095" w:rsidRPr="00A049B3">
        <w:rPr>
          <w:rFonts w:ascii="Calibri" w:hAnsi="Calibri" w:cs="Calibri"/>
          <w:sz w:val="22"/>
          <w:szCs w:val="22"/>
        </w:rPr>
        <w:t>5</w:t>
      </w:r>
      <w:r w:rsidRPr="00A049B3">
        <w:rPr>
          <w:rFonts w:ascii="Calibri" w:hAnsi="Calibri" w:cs="Calibri"/>
          <w:sz w:val="22"/>
          <w:szCs w:val="22"/>
        </w:rPr>
        <w:t>/PE</w:t>
      </w:r>
      <w:r w:rsidR="00DB4349" w:rsidRPr="00A049B3">
        <w:rPr>
          <w:rFonts w:ascii="Calibri" w:hAnsi="Calibri" w:cs="Calibri"/>
          <w:sz w:val="22"/>
          <w:szCs w:val="22"/>
        </w:rPr>
        <w:t>S</w:t>
      </w:r>
      <w:r w:rsidRPr="00A049B3">
        <w:rPr>
          <w:rFonts w:ascii="Calibri" w:hAnsi="Calibri" w:cs="Calibri"/>
          <w:sz w:val="22"/>
          <w:szCs w:val="22"/>
        </w:rPr>
        <w:t>-00</w:t>
      </w:r>
      <w:r w:rsidR="00913FEF" w:rsidRPr="00A049B3">
        <w:rPr>
          <w:rFonts w:ascii="Calibri" w:hAnsi="Calibri" w:cs="Calibri"/>
          <w:sz w:val="22"/>
          <w:szCs w:val="22"/>
        </w:rPr>
        <w:t>135</w:t>
      </w:r>
      <w:r w:rsidRPr="00A049B3">
        <w:rPr>
          <w:rFonts w:ascii="Calibri" w:hAnsi="Calibri" w:cs="Calibri"/>
          <w:sz w:val="22"/>
          <w:szCs w:val="22"/>
        </w:rPr>
        <w:t>, informa lo siguiente:</w:t>
      </w:r>
    </w:p>
    <w:p w14:paraId="5BA71A9F" w14:textId="2E3BC76B" w:rsidR="00256219" w:rsidRPr="00A049B3" w:rsidRDefault="00256219" w:rsidP="00C95D1E">
      <w:pPr>
        <w:spacing w:line="360" w:lineRule="auto"/>
        <w:ind w:firstLine="360"/>
        <w:jc w:val="both"/>
        <w:rPr>
          <w:rFonts w:ascii="Calibri" w:hAnsi="Calibri" w:cs="Calibri"/>
          <w:b/>
          <w:sz w:val="22"/>
          <w:szCs w:val="22"/>
        </w:rPr>
      </w:pPr>
      <w:r w:rsidRPr="00A049B3">
        <w:rPr>
          <w:rFonts w:ascii="Calibri" w:hAnsi="Calibri" w:cs="Calibri"/>
          <w:b/>
          <w:sz w:val="22"/>
          <w:szCs w:val="22"/>
        </w:rPr>
        <w:t>¿Qué medidas del Plan de lucha contra el racismo y la xenofobia en Navarra 2021-2026 no se han iniciado todavía y por qué razón, en cada caso?</w:t>
      </w:r>
    </w:p>
    <w:p w14:paraId="26CBC31D" w14:textId="254339D8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La premisa fundamental del Plan de Lucha contra el Racismo y la Xenofobia en Navarra es su pretensión de complementar y concretar una hoja de ruta específica con acciones encaminadas a abordar la convivencia en Navarra desde una perspectiva antirracista, ofreciendo claves para el análisis crítico de los procesos de </w:t>
      </w:r>
      <w:proofErr w:type="spellStart"/>
      <w:r w:rsidRPr="00A049B3">
        <w:rPr>
          <w:rFonts w:ascii="Calibri" w:hAnsi="Calibri" w:cs="Calibri"/>
          <w:sz w:val="22"/>
          <w:szCs w:val="22"/>
        </w:rPr>
        <w:t>racialización</w:t>
      </w:r>
      <w:proofErr w:type="spellEnd"/>
      <w:r w:rsidRPr="00A049B3">
        <w:rPr>
          <w:rFonts w:ascii="Calibri" w:hAnsi="Calibri" w:cs="Calibri"/>
          <w:sz w:val="22"/>
          <w:szCs w:val="22"/>
        </w:rPr>
        <w:t>, del racismo, de la xenofobia y de formas de discriminación conexas.</w:t>
      </w:r>
    </w:p>
    <w:p w14:paraId="5EC80469" w14:textId="1F0EDA6E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Su objetivo es acabar con cualquier manifestación de racismo y xenofobia, sustituyendo el odio o la discriminación hacia la persona por una actitud general de respeto y promoción de valores interculturales. Para acometer tal meta el Plan desarrolla unos objetivos más específicos u operativos que se concretan en diferentes medidas, programas o acciones. Estos objetivos además quedan enmarcados en cuatro líneas estratégicas que proporcionan al Plan una estructura organizativa: coordinación, prevención, protección y reparación. </w:t>
      </w:r>
    </w:p>
    <w:p w14:paraId="44C8D92F" w14:textId="17DE61F7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En consonancia con el desarrollo de los objetivos específicos establecidos en el Plan y atendiendo a la PEI formulada, se señalan a continuación las medidas que no se han iniciado: </w:t>
      </w:r>
    </w:p>
    <w:p w14:paraId="16E6CF26" w14:textId="2D96D486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Mejorar la coordinación entre los distintos organismos y agentes implicados en la lucha contra el racismo y la xenofobia. Avanzar en un marco compartido de trabajo, comunicación y desarrollo de alianzas efectivas.</w:t>
      </w:r>
    </w:p>
    <w:p w14:paraId="2FA59463" w14:textId="77777777" w:rsidR="004350FB" w:rsidRPr="00A049B3" w:rsidRDefault="004350FB" w:rsidP="004350FB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En este apartado, si bien la medida </w:t>
      </w:r>
      <w:r w:rsidRPr="00A049B3">
        <w:rPr>
          <w:rFonts w:ascii="Calibri" w:hAnsi="Calibri" w:cs="Calibri"/>
          <w:b/>
          <w:sz w:val="22"/>
          <w:szCs w:val="22"/>
        </w:rPr>
        <w:t>A1</w:t>
      </w:r>
      <w:r w:rsidRPr="00A049B3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A049B3">
        <w:rPr>
          <w:rFonts w:ascii="Calibri" w:hAnsi="Calibri" w:cs="Calibri"/>
          <w:sz w:val="22"/>
          <w:szCs w:val="22"/>
        </w:rPr>
        <w:t xml:space="preserve"> no se ha desarrollado según lo establecido en el Plan, sin embargo, el pasado año 2024 se constituyó  el Consejo Navarro para la Lucha contra el Racismo y la Xenofobia donde están representados varios Departamentos de Gobierno de Navarra, siendo una de las vocalías ocupada por la Dirección General de Interior, la Federación de Municipios y Concejos, el </w:t>
      </w:r>
      <w:r w:rsidRPr="00A049B3">
        <w:rPr>
          <w:rFonts w:ascii="Calibri" w:hAnsi="Calibri" w:cs="Calibri"/>
          <w:sz w:val="22"/>
          <w:szCs w:val="22"/>
        </w:rPr>
        <w:lastRenderedPageBreak/>
        <w:t xml:space="preserve">Defensor del Pueblo, la Universidad Pública de Navarra, Entidades Sociales, Asociaciones de personas migrantes y racializadas y el Foro de personas migrantes. </w:t>
      </w:r>
    </w:p>
    <w:p w14:paraId="7E3A5A8D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392A89" w14:textId="0E63DF91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Por otro lado, se mantiene desde el año 2023 un espacio de relación entre la Dirección General de Politicas Migratorias (personal técnico del Servicio Ayllu y coordinadora del Servicio de Lucha contra el Racismo y la Xenofobia) y cuerpos policiales que operan en Navarra (policía foral, policía nacional, guardia civil y policía municipal de Pamplona) con el objetivo de abordar el desarrollo de medidas incluidas en el Plan de Lucha contra el Racismo y la xenofobia. Además, se mantienen reuniones bilaterales con cada cuerpo de policía. Esta acción (</w:t>
      </w:r>
      <w:r w:rsidRPr="00A049B3">
        <w:rPr>
          <w:rFonts w:ascii="Calibri" w:hAnsi="Calibri" w:cs="Calibri"/>
          <w:b/>
          <w:sz w:val="22"/>
          <w:szCs w:val="22"/>
        </w:rPr>
        <w:t>37.2</w:t>
      </w:r>
      <w:r w:rsidRPr="00A049B3">
        <w:rPr>
          <w:rFonts w:ascii="Calibri" w:hAnsi="Calibri" w:cs="Calibri"/>
          <w:sz w:val="22"/>
          <w:szCs w:val="22"/>
        </w:rPr>
        <w:t xml:space="preserve">) se reporta en la medida </w:t>
      </w:r>
      <w:r w:rsidRPr="00A049B3">
        <w:rPr>
          <w:rFonts w:ascii="Calibri" w:hAnsi="Calibri" w:cs="Calibri"/>
          <w:b/>
          <w:sz w:val="22"/>
          <w:szCs w:val="22"/>
        </w:rPr>
        <w:t>A37</w:t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footnoteReference w:id="2"/>
      </w:r>
      <w:r w:rsidRPr="00A049B3">
        <w:rPr>
          <w:rFonts w:ascii="Calibri" w:hAnsi="Calibri" w:cs="Calibri"/>
          <w:sz w:val="22"/>
          <w:szCs w:val="22"/>
        </w:rPr>
        <w:t xml:space="preserve"> pero responde también a esta otra, actuando la DGPM como enlace entre las propuestas/respuestas del ámbito social (entidades sociales) y policial (cuerpos policiales). </w:t>
      </w:r>
    </w:p>
    <w:p w14:paraId="17EFA26B" w14:textId="422ADA84" w:rsidR="004350FB" w:rsidRPr="00A049B3" w:rsidRDefault="004350FB" w:rsidP="00A049B3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Ampliar el conocimiento y la formación sobre las situaciones de discriminación que sufren las personas racializadas/</w:t>
      </w:r>
      <w:proofErr w:type="spellStart"/>
      <w:r w:rsidRPr="00A049B3">
        <w:rPr>
          <w:rFonts w:ascii="Calibri" w:hAnsi="Calibri" w:cs="Calibri"/>
          <w:sz w:val="22"/>
          <w:szCs w:val="22"/>
          <w:u w:val="single"/>
        </w:rPr>
        <w:t>etnificadas</w:t>
      </w:r>
      <w:proofErr w:type="spellEnd"/>
      <w:r w:rsidRPr="00A049B3">
        <w:rPr>
          <w:rFonts w:ascii="Calibri" w:hAnsi="Calibri" w:cs="Calibri"/>
          <w:sz w:val="22"/>
          <w:szCs w:val="22"/>
          <w:u w:val="single"/>
        </w:rPr>
        <w:t xml:space="preserve"> o víctimas de discriminación interseccional. Formación dirigida a instituciones públicas y entidades privadas.</w:t>
      </w:r>
    </w:p>
    <w:p w14:paraId="5F36AF72" w14:textId="77777777" w:rsidR="004350FB" w:rsidRPr="00A049B3" w:rsidRDefault="004350FB" w:rsidP="004350FB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La medida </w:t>
      </w:r>
      <w:r w:rsidRPr="00A049B3">
        <w:rPr>
          <w:rFonts w:ascii="Calibri" w:hAnsi="Calibri" w:cs="Calibri"/>
          <w:b/>
          <w:sz w:val="22"/>
          <w:szCs w:val="22"/>
        </w:rPr>
        <w:t>A7</w:t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footnoteReference w:id="3"/>
      </w:r>
      <w:r w:rsidRPr="00A049B3">
        <w:rPr>
          <w:rFonts w:ascii="Calibri" w:hAnsi="Calibri" w:cs="Calibri"/>
          <w:sz w:val="22"/>
          <w:szCs w:val="22"/>
        </w:rPr>
        <w:t xml:space="preserve"> que no se ha iniciado en los años anteriores y cuyo inicio no tenía establecido en la calendarización (2022-2026) un año concreto de inicio, se desarrollara el próximo año 2026. Las medidas se van acometiendo de manera progresiva atendiendo a la capacidad de desarrollo de acciones anuales por parte del equipo técnico de la Direccion General de Politicas Migratorias y a la priorización de </w:t>
      </w:r>
      <w:proofErr w:type="gramStart"/>
      <w:r w:rsidRPr="00A049B3">
        <w:rPr>
          <w:rFonts w:ascii="Calibri" w:hAnsi="Calibri" w:cs="Calibri"/>
          <w:sz w:val="22"/>
          <w:szCs w:val="22"/>
        </w:rPr>
        <w:t>las mismas</w:t>
      </w:r>
      <w:proofErr w:type="gramEnd"/>
      <w:r w:rsidRPr="00A049B3">
        <w:rPr>
          <w:rFonts w:ascii="Calibri" w:hAnsi="Calibri" w:cs="Calibri"/>
          <w:sz w:val="22"/>
          <w:szCs w:val="22"/>
        </w:rPr>
        <w:t xml:space="preserve"> que se consensua en dicho equipo. </w:t>
      </w:r>
    </w:p>
    <w:p w14:paraId="4FF59AAE" w14:textId="77777777" w:rsidR="004350FB" w:rsidRPr="00A049B3" w:rsidRDefault="004350FB" w:rsidP="004350FB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La medida </w:t>
      </w:r>
      <w:r w:rsidRPr="00A049B3">
        <w:rPr>
          <w:rFonts w:ascii="Calibri" w:hAnsi="Calibri" w:cs="Calibri"/>
          <w:b/>
          <w:sz w:val="22"/>
          <w:szCs w:val="22"/>
        </w:rPr>
        <w:t>A8</w:t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footnoteReference w:id="4"/>
      </w:r>
      <w:r w:rsidRPr="00A049B3">
        <w:rPr>
          <w:rFonts w:ascii="Calibri" w:hAnsi="Calibri" w:cs="Calibri"/>
          <w:sz w:val="22"/>
          <w:szCs w:val="22"/>
        </w:rPr>
        <w:t xml:space="preserve"> que no se había iniciado en los años anteriores y cuyo inicio no tenía establecido en la calendarización (2022-2026) un año concreto de inicio, se iniciara en el año 2025, de acuerdo con lo establecido en el Programa Operativo Anual de este año:</w:t>
      </w:r>
    </w:p>
    <w:p w14:paraId="1C3BDF21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A049B3">
        <w:rPr>
          <w:rFonts w:ascii="Calibri" w:hAnsi="Calibri" w:cs="Calibri"/>
          <w:i/>
          <w:sz w:val="22"/>
          <w:szCs w:val="22"/>
        </w:rPr>
        <w:t xml:space="preserve">“8.1. Diseño y aprobación de acciones formativas sobre lucha contra el racismo y la xenofobia dirigido a sindicatos, tercer sector, empresariado/ empleadores y organizaciones profesionales. </w:t>
      </w:r>
    </w:p>
    <w:p w14:paraId="3FEBA744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A049B3">
        <w:rPr>
          <w:rFonts w:ascii="Calibri" w:hAnsi="Calibri" w:cs="Calibri"/>
          <w:i/>
          <w:sz w:val="22"/>
          <w:szCs w:val="22"/>
        </w:rPr>
        <w:t xml:space="preserve">8.2. Desarrollo de la formación sobre lucha contra el racismo y la xenofobia dirigido a sindicatos, tercer sector, empresariado/ empleadores y organizaciones profesionales.” </w:t>
      </w:r>
    </w:p>
    <w:p w14:paraId="4E7CB0F9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AB47AAE" w14:textId="2D953E97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Fortalecer la difusión y promoción de los servicios y recursos públicos en la lucha contra el racismo y la xenofobia. Garantizar el acceso a una información clara, transparente y unificada.</w:t>
      </w:r>
    </w:p>
    <w:p w14:paraId="4BBC20AB" w14:textId="518EE63E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Respecto a este apartado, cabe señalar que si bien la guía informativa recogida en la medida </w:t>
      </w:r>
      <w:r w:rsidRPr="00A049B3">
        <w:rPr>
          <w:rFonts w:ascii="Calibri" w:hAnsi="Calibri" w:cs="Calibri"/>
          <w:b/>
          <w:sz w:val="22"/>
          <w:szCs w:val="22"/>
        </w:rPr>
        <w:t>A12</w:t>
      </w:r>
      <w:r w:rsidRPr="00A049B3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A049B3">
        <w:rPr>
          <w:rFonts w:ascii="Calibri" w:hAnsi="Calibri" w:cs="Calibri"/>
          <w:sz w:val="22"/>
          <w:szCs w:val="22"/>
        </w:rPr>
        <w:t xml:space="preserve"> no se ha realizado, en la página web de Gobierno de Navarra, </w:t>
      </w:r>
      <w:hyperlink r:id="rId7" w:history="1">
        <w:r w:rsidRPr="00A049B3">
          <w:rPr>
            <w:rStyle w:val="Hipervnculo"/>
            <w:rFonts w:ascii="Calibri" w:hAnsi="Calibri" w:cs="Calibri"/>
            <w:sz w:val="22"/>
            <w:szCs w:val="22"/>
          </w:rPr>
          <w:t>https://www.navarra.es/es/migraciones</w:t>
        </w:r>
      </w:hyperlink>
      <w:r w:rsidRPr="00A049B3">
        <w:rPr>
          <w:rFonts w:ascii="Calibri" w:hAnsi="Calibri" w:cs="Calibri"/>
          <w:sz w:val="22"/>
          <w:szCs w:val="22"/>
        </w:rPr>
        <w:t xml:space="preserve"> aparecen entre otros, servicios y recursos públicos dirigidos a luchar contra el racismo y la xenofobia. </w:t>
      </w:r>
    </w:p>
    <w:p w14:paraId="0B3E2966" w14:textId="77777777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Incrementar la vigilancia contra el racismo: establecer mecanismos de monitoreo, seguimiento y control que faciliten la detección precoz y prevención de actitudes y discursos racistas y xenófobos.</w:t>
      </w:r>
    </w:p>
    <w:tbl>
      <w:tblPr>
        <w:tblW w:w="90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4350FB" w:rsidRPr="00A049B3" w14:paraId="6BF4C27F" w14:textId="77777777" w:rsidTr="007D4C2C">
        <w:trPr>
          <w:trHeight w:val="951"/>
        </w:trPr>
        <w:tc>
          <w:tcPr>
            <w:tcW w:w="9039" w:type="dxa"/>
          </w:tcPr>
          <w:p w14:paraId="6AC6E965" w14:textId="77777777" w:rsidR="004350FB" w:rsidRPr="00A049B3" w:rsidRDefault="004350FB" w:rsidP="004350F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49B3">
              <w:rPr>
                <w:rFonts w:ascii="Calibri" w:hAnsi="Calibri" w:cs="Calibri"/>
                <w:sz w:val="22"/>
                <w:szCs w:val="22"/>
              </w:rPr>
              <w:t xml:space="preserve">La medida </w:t>
            </w:r>
            <w:r w:rsidRPr="00A049B3">
              <w:rPr>
                <w:rFonts w:ascii="Calibri" w:hAnsi="Calibri" w:cs="Calibri"/>
                <w:b/>
                <w:sz w:val="22"/>
                <w:szCs w:val="22"/>
              </w:rPr>
              <w:t>A15</w:t>
            </w:r>
            <w:r w:rsidRPr="00A049B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footnoteReference w:id="6"/>
            </w:r>
            <w:r w:rsidRPr="00A049B3">
              <w:rPr>
                <w:rFonts w:ascii="Calibri" w:hAnsi="Calibri" w:cs="Calibri"/>
                <w:sz w:val="22"/>
                <w:szCs w:val="22"/>
              </w:rPr>
              <w:t xml:space="preserve"> no se ha reportado en el seguimiento de este Plan sin embargo, a través de los Convenios que la Direccion General de Politicas Migratorias mantiene con SOS Racismo, que incluye la realización del informe anual sobre el racismo en Navarra, se mantienen coordinaciones a lo largo del año con la entidad, que va dando información sobre la evolución y cambios de actitudes y comportamientos con contenido racista o xenófobo, así como de incidentes y delitos de odio que se hayan detectado. </w:t>
            </w:r>
          </w:p>
        </w:tc>
      </w:tr>
    </w:tbl>
    <w:p w14:paraId="27D67740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B1C63D" w14:textId="7223CBFC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Respecto a la medida </w:t>
      </w:r>
      <w:r w:rsidRPr="00A049B3">
        <w:rPr>
          <w:rFonts w:ascii="Calibri" w:hAnsi="Calibri" w:cs="Calibri"/>
          <w:b/>
          <w:sz w:val="22"/>
          <w:szCs w:val="22"/>
        </w:rPr>
        <w:t>A21</w:t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footnoteReference w:id="7"/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t xml:space="preserve"> </w:t>
      </w:r>
      <w:r w:rsidRPr="00A049B3">
        <w:rPr>
          <w:rFonts w:ascii="Calibri" w:hAnsi="Calibri" w:cs="Calibri"/>
          <w:sz w:val="22"/>
          <w:szCs w:val="22"/>
        </w:rPr>
        <w:t>no se han desarrollado informes previos evaluativos, sin embargo, los Departamentos de Gobierno de Navarra, han solicitado a la Direccion General de Politicas Migratorias su participación para aportar la perspectiva antirracista durante el proceso de desarrollo legislativo o en el desarrollo de planificaciones estratégicas.</w:t>
      </w:r>
    </w:p>
    <w:p w14:paraId="41958651" w14:textId="266C67C6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Luchar contra discursos de odio en medios de comunicación y redes sociales. Conocer, monitorizar y responder con el fin de situar mensajes positivos y no reactivos al discurso de odio racista, xenófobo e interracial.</w:t>
      </w:r>
    </w:p>
    <w:p w14:paraId="05469ECB" w14:textId="27D5CEAE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En este apartado, todas las medidas planteadas se han iniciado. </w:t>
      </w:r>
    </w:p>
    <w:p w14:paraId="0885F7FD" w14:textId="411DFA4F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Sensibilizar y diseñar campañas contra el racismo y la xenofobia.</w:t>
      </w:r>
    </w:p>
    <w:p w14:paraId="602BB896" w14:textId="3618708E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En este apartado, todas las medidas planteadas se han iniciado. </w:t>
      </w:r>
    </w:p>
    <w:p w14:paraId="08554121" w14:textId="77777777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lastRenderedPageBreak/>
        <w:t xml:space="preserve">Adoptar medidas preventivas de la discriminación racial y la xenofobia por parte de la Administración Pública. </w:t>
      </w:r>
    </w:p>
    <w:p w14:paraId="49B036B3" w14:textId="77777777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AE4A67A" w14:textId="62A2D8D7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La medida </w:t>
      </w:r>
      <w:r w:rsidRPr="00A049B3">
        <w:rPr>
          <w:rFonts w:ascii="Calibri" w:hAnsi="Calibri" w:cs="Calibri"/>
          <w:b/>
          <w:sz w:val="22"/>
          <w:szCs w:val="22"/>
        </w:rPr>
        <w:t>A27</w:t>
      </w:r>
      <w:r w:rsidRPr="00A049B3">
        <w:rPr>
          <w:rFonts w:ascii="Calibri" w:hAnsi="Calibri" w:cs="Calibri"/>
          <w:sz w:val="22"/>
          <w:szCs w:val="22"/>
          <w:vertAlign w:val="superscript"/>
        </w:rPr>
        <w:footnoteReference w:id="8"/>
      </w:r>
      <w:r w:rsidRPr="00A049B3">
        <w:rPr>
          <w:rFonts w:ascii="Calibri" w:hAnsi="Calibri" w:cs="Calibri"/>
          <w:sz w:val="22"/>
          <w:szCs w:val="22"/>
        </w:rPr>
        <w:t xml:space="preserve"> cuyo inicio estaba previsto para el año 2022, se acomete en el POA 2025: “27.1 </w:t>
      </w:r>
      <w:r w:rsidRPr="00A049B3">
        <w:rPr>
          <w:rFonts w:ascii="Calibri" w:hAnsi="Calibri" w:cs="Calibri"/>
          <w:i/>
          <w:sz w:val="22"/>
          <w:szCs w:val="22"/>
        </w:rPr>
        <w:t>Introducir dentro de la Ley de Vivienda un apartado sobre discriminación, que permita sancionar prácticas discriminatorias”</w:t>
      </w:r>
    </w:p>
    <w:p w14:paraId="50D35017" w14:textId="77777777" w:rsidR="004350FB" w:rsidRPr="00A049B3" w:rsidRDefault="004350FB" w:rsidP="004350FB">
      <w:pPr>
        <w:spacing w:line="360" w:lineRule="auto"/>
        <w:ind w:firstLine="360"/>
        <w:jc w:val="both"/>
        <w:rPr>
          <w:rFonts w:ascii="Calibri" w:hAnsi="Calibri" w:cs="Calibri"/>
          <w:i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La medida </w:t>
      </w:r>
      <w:r w:rsidRPr="00A049B3">
        <w:rPr>
          <w:rFonts w:ascii="Calibri" w:hAnsi="Calibri" w:cs="Calibri"/>
          <w:b/>
          <w:sz w:val="22"/>
          <w:szCs w:val="22"/>
        </w:rPr>
        <w:t>A33</w:t>
      </w:r>
      <w:r w:rsidRPr="00A049B3">
        <w:rPr>
          <w:rFonts w:ascii="Calibri" w:hAnsi="Calibri" w:cs="Calibri"/>
          <w:b/>
          <w:sz w:val="22"/>
          <w:szCs w:val="22"/>
          <w:vertAlign w:val="superscript"/>
        </w:rPr>
        <w:footnoteReference w:id="9"/>
      </w:r>
      <w:r w:rsidRPr="00A049B3">
        <w:rPr>
          <w:rFonts w:ascii="Calibri" w:hAnsi="Calibri" w:cs="Calibri"/>
          <w:sz w:val="22"/>
          <w:szCs w:val="22"/>
        </w:rPr>
        <w:t xml:space="preserve"> no se ha reportado en el seguimiento de este Plan, sin embargo, viene realizándose y reportándose en el desarrollo de la Estrategia de Convivencia Intercultural a través de la </w:t>
      </w:r>
      <w:r w:rsidRPr="00A049B3">
        <w:rPr>
          <w:rFonts w:ascii="Calibri" w:hAnsi="Calibri" w:cs="Calibri"/>
          <w:i/>
          <w:sz w:val="22"/>
          <w:szCs w:val="22"/>
        </w:rPr>
        <w:t>Medida 3. Personal Técnico de Convivencia Intercultural y Lucha Contra el Racismo y la Xenofobia (TECIR).</w:t>
      </w:r>
    </w:p>
    <w:p w14:paraId="0383D8DE" w14:textId="3CC6CE6A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Proporcionar un servicio de atención integral a personas racializadas y/o que sufren discriminación racial, por origen étnico/migrante e interseccional, proporcionando medios para el asesoramiento, el apoyo, el acompañamiento y la mediación.</w:t>
      </w:r>
    </w:p>
    <w:p w14:paraId="0BCB4D3E" w14:textId="65D19255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 xml:space="preserve">En este apartado todas las medidas planteadas se han iniciado. No obstante, </w:t>
      </w:r>
      <w:proofErr w:type="gramStart"/>
      <w:r w:rsidRPr="00A049B3">
        <w:rPr>
          <w:rFonts w:ascii="Calibri" w:hAnsi="Calibri" w:cs="Calibri"/>
          <w:sz w:val="22"/>
          <w:szCs w:val="22"/>
        </w:rPr>
        <w:t>en relación a</w:t>
      </w:r>
      <w:proofErr w:type="gramEnd"/>
      <w:r w:rsidRPr="00A049B3">
        <w:rPr>
          <w:rFonts w:ascii="Calibri" w:hAnsi="Calibri" w:cs="Calibri"/>
          <w:sz w:val="22"/>
          <w:szCs w:val="22"/>
        </w:rPr>
        <w:t xml:space="preserve"> la </w:t>
      </w:r>
      <w:r w:rsidRPr="00A049B3">
        <w:rPr>
          <w:rFonts w:ascii="Calibri" w:hAnsi="Calibri" w:cs="Calibri"/>
          <w:b/>
          <w:sz w:val="22"/>
          <w:szCs w:val="22"/>
        </w:rPr>
        <w:t>A40</w:t>
      </w:r>
      <w:r w:rsidRPr="00A049B3">
        <w:rPr>
          <w:rFonts w:ascii="Calibri" w:hAnsi="Calibri" w:cs="Calibri"/>
          <w:sz w:val="22"/>
          <w:szCs w:val="22"/>
          <w:vertAlign w:val="superscript"/>
        </w:rPr>
        <w:footnoteReference w:id="10"/>
      </w:r>
      <w:r w:rsidRPr="00A049B3">
        <w:rPr>
          <w:rFonts w:ascii="Calibri" w:hAnsi="Calibri" w:cs="Calibri"/>
          <w:sz w:val="22"/>
          <w:szCs w:val="22"/>
        </w:rPr>
        <w:t>, se han establecido espacios de relación con los diferentes agentes para abordar la acción, sin llegar a consensuar protocolos, pero si el compromiso de derivación y colaboración entre los mismos.</w:t>
      </w:r>
    </w:p>
    <w:p w14:paraId="0638EA04" w14:textId="03435D2D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Fomentar la justicia restaurativa, así como la rehabilitación de los y las victimarias</w:t>
      </w:r>
    </w:p>
    <w:p w14:paraId="66E404F1" w14:textId="4A5A3102" w:rsidR="004350FB" w:rsidRPr="00A049B3" w:rsidRDefault="004350FB" w:rsidP="004350F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En este apartado, todas las medidas planteadas se han iniciado.</w:t>
      </w:r>
    </w:p>
    <w:p w14:paraId="5CB8AAEE" w14:textId="6B461A39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>Contribuir al fortalecer la capacidad de defensa de entidades que realizan acompañamiento a victimas del racismo y xenofobia.</w:t>
      </w:r>
    </w:p>
    <w:p w14:paraId="295C77CD" w14:textId="7B68E348" w:rsidR="004350FB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En este apartado, todas las medidas planteadas se han iniciado.</w:t>
      </w:r>
    </w:p>
    <w:p w14:paraId="733EFF15" w14:textId="71631F75" w:rsidR="004350FB" w:rsidRPr="00A049B3" w:rsidRDefault="004350FB" w:rsidP="004350FB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049B3">
        <w:rPr>
          <w:rFonts w:ascii="Calibri" w:hAnsi="Calibri" w:cs="Calibri"/>
          <w:sz w:val="22"/>
          <w:szCs w:val="22"/>
          <w:u w:val="single"/>
        </w:rPr>
        <w:t xml:space="preserve">Promocionar el reconocimiento de las víctimas, de su dignificación y </w:t>
      </w:r>
      <w:proofErr w:type="spellStart"/>
      <w:r w:rsidRPr="00A049B3">
        <w:rPr>
          <w:rFonts w:ascii="Calibri" w:hAnsi="Calibri" w:cs="Calibri"/>
          <w:sz w:val="22"/>
          <w:szCs w:val="22"/>
          <w:u w:val="single"/>
        </w:rPr>
        <w:t>visibilización</w:t>
      </w:r>
      <w:proofErr w:type="spellEnd"/>
      <w:r w:rsidRPr="00A049B3">
        <w:rPr>
          <w:rFonts w:ascii="Calibri" w:hAnsi="Calibri" w:cs="Calibri"/>
          <w:sz w:val="22"/>
          <w:szCs w:val="22"/>
          <w:u w:val="single"/>
        </w:rPr>
        <w:t xml:space="preserve"> garantizando su presencia en la memoria colectiva y en el espacio público.  </w:t>
      </w:r>
    </w:p>
    <w:p w14:paraId="150DA775" w14:textId="02BACEDB" w:rsidR="006163F7" w:rsidRPr="00A049B3" w:rsidRDefault="004350FB" w:rsidP="00C95D1E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En este apartado, todas las medidas planteadas se han iniciado.</w:t>
      </w:r>
    </w:p>
    <w:p w14:paraId="278B5601" w14:textId="539E6B11" w:rsidR="006163F7" w:rsidRPr="00A049B3" w:rsidRDefault="006163F7" w:rsidP="00C95D1E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A049B3">
        <w:rPr>
          <w:rFonts w:ascii="Calibri" w:hAnsi="Calibri" w:cs="Calibri"/>
          <w:sz w:val="22"/>
          <w:szCs w:val="22"/>
        </w:rPr>
        <w:t>Es cuanto informo en cumplimiento de lo dispuesto en el artículo 215 del Reglamento del Parlamento de Navarra.</w:t>
      </w:r>
    </w:p>
    <w:p w14:paraId="276F2328" w14:textId="690C8E9D" w:rsidR="006163F7" w:rsidRPr="00A049B3" w:rsidRDefault="006163F7" w:rsidP="00C95D1E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A049B3">
        <w:rPr>
          <w:rFonts w:ascii="Calibri" w:hAnsi="Calibri" w:cs="Calibri"/>
          <w:color w:val="000000"/>
          <w:sz w:val="22"/>
          <w:szCs w:val="22"/>
        </w:rPr>
        <w:lastRenderedPageBreak/>
        <w:t xml:space="preserve">En Pamplona, </w:t>
      </w:r>
      <w:r w:rsidR="00BF0D82" w:rsidRPr="00A049B3">
        <w:rPr>
          <w:rFonts w:ascii="Calibri" w:hAnsi="Calibri" w:cs="Calibri"/>
          <w:color w:val="000000"/>
          <w:sz w:val="22"/>
          <w:szCs w:val="22"/>
        </w:rPr>
        <w:t>8 de abril de 2025</w:t>
      </w:r>
    </w:p>
    <w:p w14:paraId="1A28B188" w14:textId="77777777" w:rsidR="00C95D1E" w:rsidRPr="00A049B3" w:rsidRDefault="00C95D1E" w:rsidP="00C95D1E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A049B3">
        <w:rPr>
          <w:rFonts w:ascii="Calibri" w:hAnsi="Calibri" w:cs="Calibri"/>
          <w:color w:val="000000"/>
          <w:sz w:val="22"/>
          <w:szCs w:val="22"/>
        </w:rPr>
        <w:t xml:space="preserve">La </w:t>
      </w:r>
      <w:proofErr w:type="gramStart"/>
      <w:r w:rsidRPr="00A049B3">
        <w:rPr>
          <w:rFonts w:ascii="Calibri" w:hAnsi="Calibri" w:cs="Calibri"/>
          <w:color w:val="000000"/>
          <w:sz w:val="22"/>
          <w:szCs w:val="22"/>
        </w:rPr>
        <w:t>Consejera</w:t>
      </w:r>
      <w:proofErr w:type="gramEnd"/>
      <w:r w:rsidRPr="00A049B3">
        <w:rPr>
          <w:rFonts w:ascii="Calibri" w:hAnsi="Calibri" w:cs="Calibri"/>
          <w:color w:val="000000"/>
          <w:sz w:val="22"/>
          <w:szCs w:val="22"/>
        </w:rPr>
        <w:t xml:space="preserve"> de Vivienda, Juventud y Políticas Migratorias: Begoña Alfaro García</w:t>
      </w:r>
    </w:p>
    <w:p w14:paraId="117BC859" w14:textId="77777777" w:rsidR="00C95D1E" w:rsidRPr="00A049B3" w:rsidRDefault="00C95D1E" w:rsidP="00C95D1E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sectPr w:rsidR="00C95D1E" w:rsidRPr="00A049B3" w:rsidSect="00BF0D82">
      <w:headerReference w:type="first" r:id="rId8"/>
      <w:footerReference w:type="first" r:id="rId9"/>
      <w:pgSz w:w="11901" w:h="16817" w:code="9"/>
      <w:pgMar w:top="2977" w:right="1418" w:bottom="184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181E" w14:textId="77777777" w:rsidR="00676D8B" w:rsidRDefault="00676D8B">
      <w:r>
        <w:separator/>
      </w:r>
    </w:p>
  </w:endnote>
  <w:endnote w:type="continuationSeparator" w:id="0">
    <w:p w14:paraId="4CEDF990" w14:textId="77777777" w:rsidR="00676D8B" w:rsidRDefault="0067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BDA7" w14:textId="77777777" w:rsidR="006A7F53" w:rsidRPr="00A2145B" w:rsidRDefault="006A7F5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B6D6" w14:textId="77777777" w:rsidR="00676D8B" w:rsidRDefault="00676D8B">
      <w:r>
        <w:separator/>
      </w:r>
    </w:p>
  </w:footnote>
  <w:footnote w:type="continuationSeparator" w:id="0">
    <w:p w14:paraId="78041090" w14:textId="77777777" w:rsidR="00676D8B" w:rsidRDefault="00676D8B">
      <w:r>
        <w:continuationSeparator/>
      </w:r>
    </w:p>
  </w:footnote>
  <w:footnote w:id="1">
    <w:p w14:paraId="75E5F546" w14:textId="77777777" w:rsidR="004350FB" w:rsidRDefault="004350FB" w:rsidP="004350FB">
      <w:pPr>
        <w:jc w:val="both"/>
        <w:rPr>
          <w:rFonts w:eastAsiaTheme="minorHAnsi"/>
        </w:rPr>
      </w:pPr>
      <w:r>
        <w:rPr>
          <w:rStyle w:val="Refdenotaalpie"/>
        </w:rPr>
        <w:footnoteRef/>
      </w:r>
      <w:r>
        <w:t xml:space="preserve"> </w:t>
      </w:r>
      <w:r w:rsidRPr="00C42D0E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>A1.</w:t>
      </w:r>
      <w:r w:rsidRPr="00C42D0E">
        <w:rPr>
          <w:rFonts w:ascii="Helvetica" w:eastAsia="Helvetica" w:hAnsi="Helvetica" w:cs="Helvetica"/>
          <w:color w:val="2B4451"/>
          <w:sz w:val="16"/>
          <w:szCs w:val="16"/>
        </w:rPr>
        <w:t xml:space="preserve"> Creación y funcionamiento de una Comisión Permanente de coordinación del Plan, de composición paritaria, con la participación de administración pública, cuerpos policiales y judiciales, representantes del tercer sector y comunidades racializadas/</w:t>
      </w:r>
      <w:proofErr w:type="spellStart"/>
      <w:r w:rsidRPr="00C42D0E">
        <w:rPr>
          <w:rFonts w:ascii="Helvetica" w:eastAsia="Helvetica" w:hAnsi="Helvetica" w:cs="Helvetica"/>
          <w:color w:val="2B4451"/>
          <w:sz w:val="16"/>
          <w:szCs w:val="16"/>
        </w:rPr>
        <w:t>etnificadas</w:t>
      </w:r>
      <w:proofErr w:type="spellEnd"/>
      <w:r w:rsidRPr="00C42D0E">
        <w:rPr>
          <w:rFonts w:ascii="Helvetica" w:eastAsia="Helvetica" w:hAnsi="Helvetica" w:cs="Helvetica"/>
          <w:color w:val="2B4451"/>
          <w:sz w:val="16"/>
          <w:szCs w:val="16"/>
        </w:rPr>
        <w:t>.</w:t>
      </w:r>
      <w:r>
        <w:rPr>
          <w:rFonts w:ascii="Helvetica" w:eastAsia="Helvetica" w:hAnsi="Helvetica" w:cs="Helvetica"/>
          <w:color w:val="2B4451"/>
          <w:sz w:val="16"/>
          <w:szCs w:val="16"/>
        </w:rPr>
        <w:t xml:space="preserve"> </w:t>
      </w:r>
    </w:p>
    <w:p w14:paraId="11FF7CC3" w14:textId="77777777" w:rsidR="004350FB" w:rsidRDefault="004350FB" w:rsidP="004350FB">
      <w:pPr>
        <w:pStyle w:val="Textonotapie"/>
      </w:pPr>
    </w:p>
  </w:footnote>
  <w:footnote w:id="2">
    <w:p w14:paraId="116201E9" w14:textId="77777777" w:rsidR="004350FB" w:rsidRDefault="004350FB" w:rsidP="004350FB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>A37</w:t>
      </w:r>
      <w:r w:rsidRPr="0061449B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 xml:space="preserve">. </w:t>
      </w:r>
      <w:r w:rsidRPr="0061449B">
        <w:rPr>
          <w:rFonts w:ascii="Helvetica" w:eastAsia="Helvetica" w:hAnsi="Helvetica" w:cs="Helvetica"/>
          <w:color w:val="2B4451"/>
          <w:sz w:val="16"/>
          <w:szCs w:val="16"/>
        </w:rPr>
        <w:t>Creación de unidades de delito de odio dentro de la Policía Foral</w:t>
      </w:r>
      <w:r>
        <w:rPr>
          <w:rFonts w:ascii="Helvetica" w:eastAsia="Helvetica" w:hAnsi="Helvetica" w:cs="Helvetica"/>
          <w:color w:val="2B4451"/>
          <w:sz w:val="16"/>
          <w:szCs w:val="16"/>
        </w:rPr>
        <w:t xml:space="preserve">. </w:t>
      </w:r>
    </w:p>
  </w:footnote>
  <w:footnote w:id="3">
    <w:p w14:paraId="77EFFC8A" w14:textId="77777777" w:rsidR="004350FB" w:rsidRPr="00E25C78" w:rsidRDefault="004350FB" w:rsidP="004350FB">
      <w:pPr>
        <w:pStyle w:val="Textonotapie"/>
        <w:jc w:val="both"/>
        <w:rPr>
          <w:rFonts w:ascii="Helvetica" w:eastAsia="Helvetica" w:hAnsi="Helvetica" w:cs="Helvetica"/>
          <w:color w:val="2B4451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F81773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 xml:space="preserve">A7. </w:t>
      </w:r>
      <w:r w:rsidRPr="00F81773">
        <w:rPr>
          <w:rFonts w:ascii="Helvetica" w:eastAsia="Helvetica" w:hAnsi="Helvetica" w:cs="Helvetica"/>
          <w:color w:val="2B4451"/>
          <w:sz w:val="16"/>
          <w:szCs w:val="16"/>
        </w:rPr>
        <w:t>Formación especializada para la capacitación del personal de los servicios de atención generales en la atención a posibles denuncias por delito de odio con objeto de garantizar su registro adecuado y su correcta tramitación</w:t>
      </w:r>
      <w:r>
        <w:rPr>
          <w:rFonts w:ascii="Helvetica" w:eastAsia="Helvetica" w:hAnsi="Helvetica" w:cs="Helvetica"/>
          <w:color w:val="2B4451"/>
          <w:sz w:val="16"/>
          <w:szCs w:val="16"/>
        </w:rPr>
        <w:t xml:space="preserve">. </w:t>
      </w:r>
    </w:p>
  </w:footnote>
  <w:footnote w:id="4">
    <w:p w14:paraId="4CB8437A" w14:textId="77777777" w:rsidR="004350FB" w:rsidRDefault="004350FB" w:rsidP="004350F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81773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 xml:space="preserve">A8. </w:t>
      </w:r>
      <w:r w:rsidRPr="00F81773">
        <w:rPr>
          <w:rFonts w:ascii="Helvetica" w:eastAsia="Helvetica" w:hAnsi="Helvetica" w:cs="Helvetica"/>
          <w:bCs/>
          <w:color w:val="2B4451"/>
          <w:sz w:val="16"/>
          <w:szCs w:val="16"/>
        </w:rPr>
        <w:t xml:space="preserve">Diseño e </w:t>
      </w:r>
      <w:r w:rsidRPr="00F81773">
        <w:rPr>
          <w:rFonts w:ascii="Helvetica" w:eastAsia="Helvetica" w:hAnsi="Helvetica" w:cs="Helvetica"/>
          <w:color w:val="2B4451"/>
          <w:sz w:val="16"/>
          <w:szCs w:val="16"/>
        </w:rPr>
        <w:t>impartición de un curso de formación con enfoque de género</w:t>
      </w:r>
      <w:r w:rsidRPr="00F81773">
        <w:t xml:space="preserve"> </w:t>
      </w:r>
      <w:r w:rsidRPr="00F81773">
        <w:rPr>
          <w:rFonts w:ascii="Helvetica" w:eastAsia="Helvetica" w:hAnsi="Helvetica" w:cs="Helvetica"/>
          <w:color w:val="2B4451"/>
          <w:sz w:val="16"/>
          <w:szCs w:val="16"/>
        </w:rPr>
        <w:t>para una mejor prevención y tratamiento de los incidentes y delitos de odio por racismo y xenofobia, y elaboración de materiales, dirigido a sindicatos, tercer sector, empresariado/ empleadores y organizaciones profesionales</w:t>
      </w:r>
      <w:r>
        <w:rPr>
          <w:rFonts w:ascii="Helvetica" w:eastAsia="Helvetica" w:hAnsi="Helvetica" w:cs="Helvetica"/>
          <w:color w:val="2B4451"/>
          <w:sz w:val="16"/>
          <w:szCs w:val="16"/>
        </w:rPr>
        <w:t>.</w:t>
      </w:r>
    </w:p>
  </w:footnote>
  <w:footnote w:id="5">
    <w:p w14:paraId="54017736" w14:textId="77777777" w:rsidR="004350FB" w:rsidRPr="00E25C78" w:rsidRDefault="004350FB" w:rsidP="004350FB">
      <w:pPr>
        <w:rPr>
          <w:rFonts w:eastAsiaTheme="minorHAnsi"/>
        </w:rPr>
      </w:pPr>
      <w:r w:rsidRPr="00E25C78">
        <w:rPr>
          <w:rStyle w:val="Refdenotaalpie"/>
        </w:rPr>
        <w:footnoteRef/>
      </w:r>
      <w:r w:rsidRPr="00E25C78">
        <w:t xml:space="preserve"> </w:t>
      </w:r>
      <w:r w:rsidRPr="00E25C78">
        <w:rPr>
          <w:rFonts w:ascii="Helvetica" w:hAnsi="Helvetica"/>
          <w:b/>
          <w:bCs/>
          <w:color w:val="2B4451"/>
          <w:sz w:val="16"/>
          <w:szCs w:val="16"/>
        </w:rPr>
        <w:t>A12.</w:t>
      </w:r>
      <w:r w:rsidRPr="00E25C78">
        <w:rPr>
          <w:rFonts w:ascii="Helvetica" w:eastAsia="Helvetica" w:hAnsi="Helvetica" w:cs="Helvetica"/>
          <w:color w:val="2B4451"/>
          <w:sz w:val="16"/>
          <w:szCs w:val="16"/>
        </w:rPr>
        <w:t xml:space="preserve"> Elaboración de una guía informativa y una página web que compile los servicios, los recursos y los protocolos de actuación contra el racismo y la xenofobia existentes en Navarra. Traducción a las lenguas más representativas de los colectivos y comunidades a las que se dirige el Plan</w:t>
      </w:r>
      <w:r>
        <w:rPr>
          <w:rFonts w:eastAsiaTheme="minorHAnsi"/>
        </w:rPr>
        <w:t xml:space="preserve"> </w:t>
      </w:r>
    </w:p>
  </w:footnote>
  <w:footnote w:id="6">
    <w:p w14:paraId="57472EEE" w14:textId="77777777" w:rsidR="004350FB" w:rsidRDefault="004350FB" w:rsidP="004350F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40A81">
        <w:rPr>
          <w:rFonts w:ascii="Helvetica" w:hAnsi="Helvetica"/>
          <w:b/>
          <w:bCs/>
          <w:color w:val="2B4451"/>
          <w:sz w:val="16"/>
          <w:szCs w:val="16"/>
        </w:rPr>
        <w:t>A1</w:t>
      </w:r>
      <w:r w:rsidRPr="00140A81">
        <w:rPr>
          <w:rFonts w:ascii="Helvetica" w:hAnsi="Helvetica"/>
          <w:b/>
          <w:bCs/>
          <w:sz w:val="16"/>
          <w:szCs w:val="16"/>
        </w:rPr>
        <w:t>5</w:t>
      </w:r>
      <w:r w:rsidRPr="00140A81">
        <w:rPr>
          <w:rFonts w:ascii="Helvetica" w:hAnsi="Helvetica"/>
          <w:b/>
          <w:bCs/>
          <w:color w:val="2B4451"/>
          <w:sz w:val="16"/>
          <w:szCs w:val="16"/>
        </w:rPr>
        <w:t>.</w:t>
      </w:r>
      <w:r w:rsidRPr="00140A81">
        <w:rPr>
          <w:rFonts w:ascii="Helvetica" w:eastAsia="Helvetica" w:hAnsi="Helvetica" w:cs="Helvetica"/>
          <w:color w:val="2B4451"/>
          <w:sz w:val="16"/>
          <w:szCs w:val="16"/>
        </w:rPr>
        <w:t xml:space="preserve"> Establecimiento de un mecanismo de consulta con entidades sociales para hacer un balance periódico anual, con enfoque de género, sobre evolución y cambios en actitudes y comportamientos con contenido racista o xenófobo, </w:t>
      </w:r>
      <w:r>
        <w:rPr>
          <w:rFonts w:ascii="Helvetica" w:eastAsia="Helvetica" w:hAnsi="Helvetica" w:cs="Helvetica"/>
          <w:color w:val="2B4451"/>
          <w:sz w:val="16"/>
          <w:szCs w:val="16"/>
        </w:rPr>
        <w:t>i</w:t>
      </w:r>
      <w:r w:rsidRPr="00140A81">
        <w:rPr>
          <w:rFonts w:ascii="Helvetica" w:eastAsia="Helvetica" w:hAnsi="Helvetica" w:cs="Helvetica"/>
          <w:color w:val="2B4451"/>
          <w:sz w:val="16"/>
          <w:szCs w:val="16"/>
        </w:rPr>
        <w:t>ncidentes y delitos de odio.</w:t>
      </w:r>
    </w:p>
  </w:footnote>
  <w:footnote w:id="7">
    <w:p w14:paraId="60E031E8" w14:textId="77777777" w:rsidR="004350FB" w:rsidRDefault="004350FB" w:rsidP="004350F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81773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 xml:space="preserve">A21. </w:t>
      </w:r>
      <w:r w:rsidRPr="00F81773">
        <w:rPr>
          <w:rFonts w:ascii="Helvetica" w:eastAsia="Helvetica" w:hAnsi="Helvetica" w:cs="Helvetica"/>
          <w:color w:val="2B4451"/>
          <w:sz w:val="16"/>
          <w:szCs w:val="16"/>
        </w:rPr>
        <w:t>Cuando su objeto lo permita, elaboración de informes previos evaluativos que garanticen la no discriminación racial y/o xenófoba de la legislación foral con anterioridad a su aprobación</w:t>
      </w:r>
      <w:r>
        <w:rPr>
          <w:rFonts w:ascii="Helvetica" w:eastAsia="Helvetica" w:hAnsi="Helvetica" w:cs="Helvetica"/>
          <w:color w:val="2B4451"/>
          <w:sz w:val="16"/>
          <w:szCs w:val="16"/>
        </w:rPr>
        <w:t>.</w:t>
      </w:r>
    </w:p>
  </w:footnote>
  <w:footnote w:id="8">
    <w:p w14:paraId="13E77C22" w14:textId="77777777" w:rsidR="004350FB" w:rsidRDefault="004350FB" w:rsidP="004350F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81773">
        <w:rPr>
          <w:rFonts w:ascii="Helvetica" w:hAnsi="Helvetica"/>
          <w:b/>
          <w:bCs/>
          <w:color w:val="2B4451"/>
          <w:sz w:val="16"/>
          <w:szCs w:val="16"/>
        </w:rPr>
        <w:t>A27.</w:t>
      </w:r>
      <w:r w:rsidRPr="00F81773">
        <w:rPr>
          <w:rFonts w:ascii="Helvetica" w:hAnsi="Helvetica"/>
          <w:bCs/>
          <w:color w:val="2B4451"/>
          <w:sz w:val="16"/>
          <w:szCs w:val="16"/>
        </w:rPr>
        <w:t xml:space="preserve"> Desarrollo normativo de un código de conducta que prohíba la discriminación racial y xenófoba y su imbricación con la discriminación por sexo, en el mercado de la </w:t>
      </w:r>
      <w:r w:rsidRPr="00F81773">
        <w:rPr>
          <w:rFonts w:ascii="Helvetica" w:hAnsi="Helvetica"/>
          <w:color w:val="2B4451"/>
          <w:sz w:val="16"/>
          <w:szCs w:val="16"/>
        </w:rPr>
        <w:t>vivienda. Especial atención a los colectivos de mayor vulnerabilidad (personas en situación irregular, familias monoparentales, mujeres víctimas de violencia de género)</w:t>
      </w:r>
    </w:p>
  </w:footnote>
  <w:footnote w:id="9">
    <w:p w14:paraId="3291D894" w14:textId="77777777" w:rsidR="004350FB" w:rsidRDefault="004350FB" w:rsidP="004350FB">
      <w:pPr>
        <w:rPr>
          <w:rFonts w:eastAsiaTheme="minorHAnsi"/>
        </w:rPr>
      </w:pPr>
      <w:r>
        <w:rPr>
          <w:rStyle w:val="Refdenotaalpie"/>
        </w:rPr>
        <w:footnoteRef/>
      </w:r>
      <w:r>
        <w:t xml:space="preserve"> </w:t>
      </w:r>
      <w:r w:rsidRPr="00B96C20">
        <w:rPr>
          <w:rFonts w:ascii="Helvetica" w:hAnsi="Helvetica"/>
          <w:b/>
          <w:bCs/>
          <w:color w:val="2B4451"/>
          <w:sz w:val="16"/>
          <w:szCs w:val="16"/>
        </w:rPr>
        <w:t xml:space="preserve">A33. </w:t>
      </w:r>
      <w:r w:rsidRPr="00B96C20">
        <w:rPr>
          <w:rFonts w:ascii="Helvetica" w:hAnsi="Helvetica"/>
          <w:color w:val="2B4451"/>
          <w:sz w:val="16"/>
          <w:szCs w:val="16"/>
        </w:rPr>
        <w:t>Impulso a la participación de los municipios en redes y plataformas estatales e internacionales en la lucha contra el racismo y la discriminación.</w:t>
      </w:r>
      <w:r>
        <w:rPr>
          <w:rFonts w:eastAsiaTheme="minorHAnsi"/>
        </w:rPr>
        <w:t xml:space="preserve"> </w:t>
      </w:r>
    </w:p>
    <w:p w14:paraId="202E7065" w14:textId="77777777" w:rsidR="004350FB" w:rsidRDefault="004350FB" w:rsidP="004350FB">
      <w:pPr>
        <w:pStyle w:val="Textonotapie"/>
      </w:pPr>
    </w:p>
  </w:footnote>
  <w:footnote w:id="10">
    <w:p w14:paraId="309AA93C" w14:textId="77777777" w:rsidR="004350FB" w:rsidRPr="00B96C20" w:rsidRDefault="004350FB" w:rsidP="004350FB">
      <w:pPr>
        <w:jc w:val="both"/>
        <w:rPr>
          <w:rFonts w:eastAsiaTheme="minorHAnsi"/>
        </w:rPr>
      </w:pPr>
      <w:r>
        <w:rPr>
          <w:rStyle w:val="Refdenotaalpie"/>
        </w:rPr>
        <w:footnoteRef/>
      </w:r>
      <w:r>
        <w:t xml:space="preserve"> </w:t>
      </w:r>
      <w:r w:rsidRPr="0077023A">
        <w:rPr>
          <w:rFonts w:ascii="Helvetica" w:eastAsia="Helvetica" w:hAnsi="Helvetica" w:cs="Helvetica"/>
          <w:b/>
          <w:bCs/>
          <w:color w:val="2B4451"/>
          <w:sz w:val="16"/>
          <w:szCs w:val="16"/>
        </w:rPr>
        <w:t xml:space="preserve">A40. </w:t>
      </w:r>
      <w:r w:rsidRPr="0077023A">
        <w:rPr>
          <w:rFonts w:ascii="Helvetica" w:eastAsia="Helvetica" w:hAnsi="Helvetica" w:cs="Helvetica"/>
          <w:color w:val="2B4451"/>
          <w:sz w:val="16"/>
          <w:szCs w:val="16"/>
        </w:rPr>
        <w:t>Reducción de la “doble victimización”</w:t>
      </w:r>
      <w:r w:rsidRPr="0077023A">
        <w:rPr>
          <w:rStyle w:val="Refdenotaalpie"/>
          <w:rFonts w:ascii="Helvetica" w:eastAsia="Helvetica" w:hAnsi="Helvetica" w:cs="Helvetica"/>
          <w:color w:val="2B4451"/>
          <w:sz w:val="16"/>
          <w:szCs w:val="16"/>
        </w:rPr>
        <w:footnoteRef/>
      </w:r>
      <w:r w:rsidRPr="0077023A">
        <w:rPr>
          <w:rFonts w:ascii="Helvetica" w:eastAsia="Helvetica" w:hAnsi="Helvetica" w:cs="Helvetica"/>
          <w:color w:val="2B4451"/>
          <w:sz w:val="16"/>
          <w:szCs w:val="16"/>
        </w:rPr>
        <w:t>, acordando un protocolo de actuación coordinada de administración pública, tercer sector y órganos policiales y jurisdiccionales con el fin de evitar duplicidades y disparidades</w:t>
      </w:r>
      <w:r>
        <w:rPr>
          <w:rFonts w:eastAsia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7D91" w14:textId="77777777" w:rsidR="006A7F53" w:rsidRDefault="006A7F53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2940DB" wp14:editId="55AA009A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FD3"/>
    <w:multiLevelType w:val="hybridMultilevel"/>
    <w:tmpl w:val="219220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592"/>
    <w:multiLevelType w:val="hybridMultilevel"/>
    <w:tmpl w:val="CDD4DD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92513"/>
    <w:multiLevelType w:val="hybridMultilevel"/>
    <w:tmpl w:val="A06A8E20"/>
    <w:lvl w:ilvl="0" w:tplc="B036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275A"/>
    <w:multiLevelType w:val="hybridMultilevel"/>
    <w:tmpl w:val="A9582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3B3E"/>
    <w:multiLevelType w:val="hybridMultilevel"/>
    <w:tmpl w:val="A2BA6398"/>
    <w:lvl w:ilvl="0" w:tplc="D2300C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6FEC"/>
    <w:multiLevelType w:val="hybridMultilevel"/>
    <w:tmpl w:val="FD94B536"/>
    <w:lvl w:ilvl="0" w:tplc="672092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5341E"/>
    <w:multiLevelType w:val="hybridMultilevel"/>
    <w:tmpl w:val="F8B6FD8C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D17"/>
    <w:multiLevelType w:val="hybridMultilevel"/>
    <w:tmpl w:val="4C00157E"/>
    <w:lvl w:ilvl="0" w:tplc="764E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7D3A"/>
    <w:multiLevelType w:val="hybridMultilevel"/>
    <w:tmpl w:val="BF70C812"/>
    <w:lvl w:ilvl="0" w:tplc="67209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2315C"/>
    <w:multiLevelType w:val="hybridMultilevel"/>
    <w:tmpl w:val="B0E6F7CC"/>
    <w:lvl w:ilvl="0" w:tplc="F5824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EE14E90"/>
    <w:multiLevelType w:val="hybridMultilevel"/>
    <w:tmpl w:val="F120F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60D0"/>
    <w:multiLevelType w:val="hybridMultilevel"/>
    <w:tmpl w:val="90C203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F5241"/>
    <w:multiLevelType w:val="hybridMultilevel"/>
    <w:tmpl w:val="A1E69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91E7F"/>
    <w:multiLevelType w:val="hybridMultilevel"/>
    <w:tmpl w:val="B3B6D2A2"/>
    <w:lvl w:ilvl="0" w:tplc="C49C066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251C8"/>
    <w:multiLevelType w:val="hybridMultilevel"/>
    <w:tmpl w:val="953A6964"/>
    <w:lvl w:ilvl="0" w:tplc="221E37BC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96500"/>
    <w:multiLevelType w:val="hybridMultilevel"/>
    <w:tmpl w:val="13B67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C70"/>
    <w:multiLevelType w:val="hybridMultilevel"/>
    <w:tmpl w:val="DF7894DA"/>
    <w:lvl w:ilvl="0" w:tplc="67209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600002">
    <w:abstractNumId w:val="2"/>
  </w:num>
  <w:num w:numId="2" w16cid:durableId="979773300">
    <w:abstractNumId w:val="12"/>
  </w:num>
  <w:num w:numId="3" w16cid:durableId="69231918">
    <w:abstractNumId w:val="4"/>
  </w:num>
  <w:num w:numId="4" w16cid:durableId="333607342">
    <w:abstractNumId w:val="6"/>
  </w:num>
  <w:num w:numId="5" w16cid:durableId="20865814">
    <w:abstractNumId w:val="15"/>
  </w:num>
  <w:num w:numId="6" w16cid:durableId="1188911060">
    <w:abstractNumId w:val="10"/>
  </w:num>
  <w:num w:numId="7" w16cid:durableId="1449161309">
    <w:abstractNumId w:val="3"/>
  </w:num>
  <w:num w:numId="8" w16cid:durableId="847215342">
    <w:abstractNumId w:val="11"/>
  </w:num>
  <w:num w:numId="9" w16cid:durableId="1640501410">
    <w:abstractNumId w:val="13"/>
  </w:num>
  <w:num w:numId="10" w16cid:durableId="450631990">
    <w:abstractNumId w:val="8"/>
  </w:num>
  <w:num w:numId="11" w16cid:durableId="484467247">
    <w:abstractNumId w:val="5"/>
  </w:num>
  <w:num w:numId="12" w16cid:durableId="446244724">
    <w:abstractNumId w:val="16"/>
  </w:num>
  <w:num w:numId="13" w16cid:durableId="1997344633">
    <w:abstractNumId w:val="9"/>
  </w:num>
  <w:num w:numId="14" w16cid:durableId="712774045">
    <w:abstractNumId w:val="0"/>
  </w:num>
  <w:num w:numId="15" w16cid:durableId="98109136">
    <w:abstractNumId w:val="14"/>
  </w:num>
  <w:num w:numId="16" w16cid:durableId="2008749264">
    <w:abstractNumId w:val="7"/>
  </w:num>
  <w:num w:numId="17" w16cid:durableId="57674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631E5"/>
    <w:rsid w:val="000729E0"/>
    <w:rsid w:val="00083C0A"/>
    <w:rsid w:val="00093300"/>
    <w:rsid w:val="0009463A"/>
    <w:rsid w:val="000A697F"/>
    <w:rsid w:val="000B64A1"/>
    <w:rsid w:val="000D79CF"/>
    <w:rsid w:val="00116AF7"/>
    <w:rsid w:val="0014013D"/>
    <w:rsid w:val="00165095"/>
    <w:rsid w:val="001671B2"/>
    <w:rsid w:val="00170AFF"/>
    <w:rsid w:val="001B1ACE"/>
    <w:rsid w:val="001F5AE6"/>
    <w:rsid w:val="00215D3F"/>
    <w:rsid w:val="00247EB5"/>
    <w:rsid w:val="00253366"/>
    <w:rsid w:val="00256219"/>
    <w:rsid w:val="00277C9A"/>
    <w:rsid w:val="00280F08"/>
    <w:rsid w:val="002F09C8"/>
    <w:rsid w:val="00304004"/>
    <w:rsid w:val="00374714"/>
    <w:rsid w:val="00384363"/>
    <w:rsid w:val="003A51EA"/>
    <w:rsid w:val="003F1206"/>
    <w:rsid w:val="0040475B"/>
    <w:rsid w:val="004350FB"/>
    <w:rsid w:val="00443A44"/>
    <w:rsid w:val="004B47C0"/>
    <w:rsid w:val="00524CFD"/>
    <w:rsid w:val="005367EB"/>
    <w:rsid w:val="005B095B"/>
    <w:rsid w:val="005C6849"/>
    <w:rsid w:val="005C6F85"/>
    <w:rsid w:val="005E7244"/>
    <w:rsid w:val="005F55EF"/>
    <w:rsid w:val="005F5C77"/>
    <w:rsid w:val="005F6D5D"/>
    <w:rsid w:val="006160C8"/>
    <w:rsid w:val="006163F7"/>
    <w:rsid w:val="006557F1"/>
    <w:rsid w:val="00663B51"/>
    <w:rsid w:val="00676D8B"/>
    <w:rsid w:val="00696F6F"/>
    <w:rsid w:val="006A249B"/>
    <w:rsid w:val="006A5952"/>
    <w:rsid w:val="006A7F53"/>
    <w:rsid w:val="007018B0"/>
    <w:rsid w:val="0071169E"/>
    <w:rsid w:val="0072285D"/>
    <w:rsid w:val="0073004C"/>
    <w:rsid w:val="00730C46"/>
    <w:rsid w:val="00734C24"/>
    <w:rsid w:val="00737C2F"/>
    <w:rsid w:val="00766DD7"/>
    <w:rsid w:val="00767509"/>
    <w:rsid w:val="00793F61"/>
    <w:rsid w:val="007C55BD"/>
    <w:rsid w:val="007C68F3"/>
    <w:rsid w:val="007F2C1A"/>
    <w:rsid w:val="007F433A"/>
    <w:rsid w:val="00834D40"/>
    <w:rsid w:val="008354B9"/>
    <w:rsid w:val="00840386"/>
    <w:rsid w:val="00843157"/>
    <w:rsid w:val="008642B3"/>
    <w:rsid w:val="00890456"/>
    <w:rsid w:val="008A6304"/>
    <w:rsid w:val="009022B4"/>
    <w:rsid w:val="0090494F"/>
    <w:rsid w:val="00913FEF"/>
    <w:rsid w:val="00954697"/>
    <w:rsid w:val="00994342"/>
    <w:rsid w:val="009C2ED9"/>
    <w:rsid w:val="009C74F8"/>
    <w:rsid w:val="009E202F"/>
    <w:rsid w:val="009E22FA"/>
    <w:rsid w:val="009E381E"/>
    <w:rsid w:val="00A049B3"/>
    <w:rsid w:val="00A077F0"/>
    <w:rsid w:val="00A117E7"/>
    <w:rsid w:val="00A2145B"/>
    <w:rsid w:val="00A52259"/>
    <w:rsid w:val="00A80D53"/>
    <w:rsid w:val="00A85153"/>
    <w:rsid w:val="00A95321"/>
    <w:rsid w:val="00AB3D1B"/>
    <w:rsid w:val="00B13A40"/>
    <w:rsid w:val="00B46857"/>
    <w:rsid w:val="00B662C6"/>
    <w:rsid w:val="00B67FDD"/>
    <w:rsid w:val="00B811B1"/>
    <w:rsid w:val="00B96F7E"/>
    <w:rsid w:val="00BB36D2"/>
    <w:rsid w:val="00BD6A02"/>
    <w:rsid w:val="00BE2BD3"/>
    <w:rsid w:val="00BF0D82"/>
    <w:rsid w:val="00C45E0E"/>
    <w:rsid w:val="00C95D1E"/>
    <w:rsid w:val="00CA2943"/>
    <w:rsid w:val="00CC1284"/>
    <w:rsid w:val="00CC1857"/>
    <w:rsid w:val="00CD431A"/>
    <w:rsid w:val="00CE65F5"/>
    <w:rsid w:val="00D304C8"/>
    <w:rsid w:val="00D76DC5"/>
    <w:rsid w:val="00D9466D"/>
    <w:rsid w:val="00DA599A"/>
    <w:rsid w:val="00DB3739"/>
    <w:rsid w:val="00DB4349"/>
    <w:rsid w:val="00DF6784"/>
    <w:rsid w:val="00E04602"/>
    <w:rsid w:val="00E45FC9"/>
    <w:rsid w:val="00E54191"/>
    <w:rsid w:val="00E8181E"/>
    <w:rsid w:val="00E96713"/>
    <w:rsid w:val="00EB05BE"/>
    <w:rsid w:val="00EF0EE6"/>
    <w:rsid w:val="00F037C2"/>
    <w:rsid w:val="00F344C7"/>
    <w:rsid w:val="00FD5947"/>
    <w:rsid w:val="00FE69D7"/>
    <w:rsid w:val="00FE6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1156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9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  <w:style w:type="paragraph" w:customStyle="1" w:styleId="xmsonormal">
    <w:name w:val="x_msonormal"/>
    <w:basedOn w:val="Normal"/>
    <w:rsid w:val="007C68F3"/>
    <w:rPr>
      <w:rFonts w:ascii="Calibri" w:eastAsiaTheme="minorHAnsi" w:hAnsi="Calibri" w:cs="Calibri"/>
      <w:sz w:val="22"/>
      <w:szCs w:val="22"/>
    </w:rPr>
  </w:style>
  <w:style w:type="character" w:styleId="Hipervnculo">
    <w:name w:val="Hyperlink"/>
    <w:basedOn w:val="Fuentedeprrafopredeter"/>
    <w:unhideWhenUsed/>
    <w:rsid w:val="00730C4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FD5947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50FB"/>
    <w:rPr>
      <w:rFonts w:ascii="Calibri" w:eastAsia="Cambria" w:hAnsi="Calibri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0FB"/>
    <w:rPr>
      <w:rFonts w:ascii="Calibri" w:eastAsia="Cambria" w:hAnsi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35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arra.es/es/migr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3</cp:revision>
  <cp:lastPrinted>2024-10-22T07:46:00Z</cp:lastPrinted>
  <dcterms:created xsi:type="dcterms:W3CDTF">2025-05-16T07:39:00Z</dcterms:created>
  <dcterms:modified xsi:type="dcterms:W3CDTF">2025-05-16T07:39:00Z</dcterms:modified>
</cp:coreProperties>
</file>