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5DBE9" w14:textId="523B39D0" w:rsidR="00211860" w:rsidRPr="00363672" w:rsidRDefault="002C6517" w:rsidP="007A14AD">
      <w:pPr>
        <w:ind w:firstLine="540"/>
        <w:rPr>
          <w:rFonts w:cs="Arial"/>
          <w:color w:val="000000"/>
          <w:szCs w:val="24"/>
        </w:rPr>
      </w:pPr>
      <w:r>
        <w:rPr>
          <w:color w:val="000000"/>
        </w:rPr>
        <w:t>2025eko apirilaren 25a</w:t>
      </w:r>
    </w:p>
    <w:p w14:paraId="69027C04" w14:textId="77777777" w:rsidR="00516ADA" w:rsidRDefault="00516ADA" w:rsidP="007A14AD">
      <w:pPr>
        <w:ind w:firstLine="540"/>
        <w:rPr>
          <w:rFonts w:cs="Arial"/>
          <w:color w:val="000000"/>
          <w:szCs w:val="24"/>
        </w:rPr>
      </w:pPr>
    </w:p>
    <w:p w14:paraId="1F5CA7C1" w14:textId="77777777" w:rsidR="00934199" w:rsidRPr="00516ADA" w:rsidRDefault="00B07455" w:rsidP="007A14AD">
      <w:pPr>
        <w:ind w:firstLine="540"/>
        <w:rPr>
          <w:rFonts w:cs="Arial"/>
          <w:szCs w:val="24"/>
        </w:rPr>
      </w:pPr>
      <w:r>
        <w:t>UPN talde parlamentarioari atxikitako foru parlamentari Félix Zapatero Soria jaunak 11-25/PES-00158 idatzizko galdera egin zuen, iberiar otsoak jasaten duen babesgabetasunaren gainean. Bada, Landa Garapeneko eta Ingurumeneko kontseilaria naizen aldetik, honako hau jakinarazten dut egindako galderei erantzunez:</w:t>
      </w:r>
    </w:p>
    <w:p w14:paraId="409C6C15" w14:textId="77777777" w:rsidR="005D4E19" w:rsidRPr="00516ADA" w:rsidRDefault="005D4E19" w:rsidP="007A14AD">
      <w:pPr>
        <w:ind w:firstLine="540"/>
        <w:rPr>
          <w:rFonts w:cs="Arial"/>
          <w:szCs w:val="24"/>
        </w:rPr>
      </w:pPr>
    </w:p>
    <w:p w14:paraId="4BEB3AB8" w14:textId="77777777" w:rsidR="00C225A8" w:rsidRPr="00516ADA" w:rsidRDefault="00C225A8" w:rsidP="00363672">
      <w:pPr>
        <w:numPr>
          <w:ilvl w:val="0"/>
          <w:numId w:val="18"/>
        </w:numPr>
        <w:autoSpaceDE w:val="0"/>
        <w:autoSpaceDN w:val="0"/>
        <w:adjustRightInd w:val="0"/>
        <w:rPr>
          <w:rFonts w:cs="Arial"/>
          <w:b/>
          <w:szCs w:val="24"/>
        </w:rPr>
      </w:pPr>
      <w:r>
        <w:rPr>
          <w:b/>
        </w:rPr>
        <w:t>Nafarroako Gobernuak zer jarrera du Diputatuen Kongresuak iberiar otsoa Duero ibaiaren iparraldean babesik gabe uztea onartu izanaren gainean?</w:t>
      </w:r>
    </w:p>
    <w:p w14:paraId="1A387D90" w14:textId="77777777" w:rsidR="00C225A8" w:rsidRPr="00516ADA" w:rsidRDefault="00C225A8" w:rsidP="00C225A8">
      <w:pPr>
        <w:spacing w:before="120" w:after="240"/>
        <w:ind w:firstLine="567"/>
        <w:rPr>
          <w:rFonts w:cs="Arial"/>
          <w:szCs w:val="24"/>
        </w:rPr>
      </w:pPr>
      <w:r>
        <w:t xml:space="preserve">Nafarroako azken otsoa iragan mendeko lehen zatian hil zuten. Ondorioz, </w:t>
      </w:r>
      <w:r>
        <w:rPr>
          <w:i/>
          <w:iCs/>
        </w:rPr>
        <w:t>Canis lupus</w:t>
      </w:r>
      <w:r>
        <w:t xml:space="preserve"> espeziea «galdutako espezie» deklaratu zuen 563/1995 Foru Dekretuak, basafaunako ornodunen zenbait espezie eta subespezie Nafarroako Espezie Mehatxatuen Katalogoan sartu zituenak. </w:t>
      </w:r>
    </w:p>
    <w:p w14:paraId="0435B331" w14:textId="77777777" w:rsidR="00C225A8" w:rsidRPr="00516ADA" w:rsidRDefault="00C225A8" w:rsidP="00C225A8">
      <w:pPr>
        <w:spacing w:before="120" w:after="240"/>
        <w:ind w:firstLine="567"/>
        <w:rPr>
          <w:rFonts w:cs="Arial"/>
          <w:szCs w:val="24"/>
        </w:rPr>
      </w:pPr>
      <w:r>
        <w:t xml:space="preserve">Nafarroako arrantzaren kudeaketari buruzko abenduaren 26ko 21/2023 Foru Legearen azken xedapenetako bigarrenaren bidez, Nafarroako basafauna babesteko kategoriak aldatu ziren, zehazki, Basafauna eta haren habitatak babestu eta kudeatzeari buruzko martxoaren 5eko 2/1993 Foru Legean jasota zeudenak; ondorioz, «galdutakotzat» jotako espezieak deskatalogatuta geratu ziren. Horrenbestez, </w:t>
      </w:r>
      <w:r>
        <w:rPr>
          <w:i/>
          <w:iCs/>
        </w:rPr>
        <w:t>Canis lupus</w:t>
      </w:r>
      <w:r>
        <w:t xml:space="preserve"> espeziea ez dago uneotan Nafarroako inolako katalogotan jasota.</w:t>
      </w:r>
    </w:p>
    <w:p w14:paraId="1B2802EB" w14:textId="77777777" w:rsidR="00C225A8" w:rsidRPr="00516ADA" w:rsidRDefault="00C225A8" w:rsidP="00C225A8">
      <w:pPr>
        <w:spacing w:before="120" w:after="240"/>
        <w:ind w:firstLine="567"/>
        <w:rPr>
          <w:rFonts w:cs="Arial"/>
          <w:szCs w:val="24"/>
        </w:rPr>
      </w:pPr>
      <w:r>
        <w:t xml:space="preserve">Are, iberiar otsoa Nafarroan edo inguruko lurraldeetan agertu izanari dagokionez, nabarmendu behar da ez dagoela inolako frogarik esateko espezieak foru lurraldean presentzia iraunkorrik edo ohikorik duenik. Berriki kasu positibo bezala onartu zen otso batek Errege Bardean ganaduari egindako erasoa, baina erasoa Aragoitik heldutako banako alderrai batek egin zuela eta ondoren bertara itzuli zela ondorioztatu zen. Era berean, jakina da Aragoin isolatutako zenbait otso egon badaudela, bertan inolako talderik ezarri denik </w:t>
      </w:r>
      <w:r>
        <w:lastRenderedPageBreak/>
        <w:t>egiaztatu ez bada ere. Errioxan eta Euskal Autonomia Erkidegoan egon badaude otso taldeak, baina Nafarroako mugetatik urrun. Pirinio Atlantikoetako Departamenduko mugetatik gertu ere ez dago otso talderik, Frantziako agintariek Pirinioen eta Landen artean banako alderraien presentzia egiaztatu duten arren.</w:t>
      </w:r>
    </w:p>
    <w:p w14:paraId="6904B9F9" w14:textId="77777777" w:rsidR="00C225A8" w:rsidRPr="00516ADA" w:rsidRDefault="00C225A8" w:rsidP="00C225A8">
      <w:pPr>
        <w:spacing w:before="120" w:after="240"/>
        <w:ind w:firstLine="567"/>
        <w:rPr>
          <w:rFonts w:cs="Arial"/>
          <w:szCs w:val="24"/>
        </w:rPr>
      </w:pPr>
      <w:r>
        <w:t xml:space="preserve">Diputatuen Kongresuak onartutako aldaketaren gaineko zenbait kontsiderazio: </w:t>
      </w:r>
    </w:p>
    <w:p w14:paraId="755F8608" w14:textId="77777777" w:rsidR="00C225A8" w:rsidRPr="00516ADA" w:rsidRDefault="00C225A8" w:rsidP="00C225A8">
      <w:pPr>
        <w:spacing w:before="120" w:after="240"/>
        <w:ind w:firstLine="567"/>
        <w:rPr>
          <w:rFonts w:cs="Arial"/>
          <w:szCs w:val="24"/>
        </w:rPr>
      </w:pPr>
      <w:r>
        <w:t>Diputatuen Kongresuak berriki onartutako Elikagaiak Botatzea eta Alferrik Galtzea Prebenitzeko apirilaren 1eko 1/2025 Legeak, zenbait kontsiderazio ezartzen ditu Espainiako otsoaren babes-estatuarekin lotuta:</w:t>
      </w:r>
    </w:p>
    <w:p w14:paraId="6CA5D56B" w14:textId="77777777" w:rsidR="00C225A8" w:rsidRPr="00516ADA" w:rsidRDefault="00C225A8" w:rsidP="00C225A8">
      <w:pPr>
        <w:numPr>
          <w:ilvl w:val="0"/>
          <w:numId w:val="20"/>
        </w:numPr>
        <w:spacing w:before="120" w:after="240"/>
        <w:rPr>
          <w:rFonts w:cs="Arial"/>
          <w:szCs w:val="24"/>
        </w:rPr>
      </w:pPr>
      <w:r>
        <w:t>Azken xedapenetako hemeretzigarrena: Babes Bereziko Erregimeneko Espezie Basatien Zerrenda eta Espezie Mehatxatuen Espainiako Katalogoa garatzeko otsailaren 4ko 139/2011 Errege Dekretua aldatzen du, otsoa Babes Bereziko Erregimeneko Espezie Basatien Zerrendan mantenduz, baina soilik Duero ibaiaren hegoaldean kokatutako populazioen kasuan. Horrek aurreko egoera aldatzea dakar, aurretik otso populazio guztiak sartzen baitziren Babes Bereziko Erregimeneko Espezie Basatien Zerrendan.</w:t>
      </w:r>
    </w:p>
    <w:p w14:paraId="30F95518" w14:textId="77777777" w:rsidR="00C225A8" w:rsidRPr="00516ADA" w:rsidRDefault="00C225A8" w:rsidP="00C225A8">
      <w:pPr>
        <w:numPr>
          <w:ilvl w:val="0"/>
          <w:numId w:val="20"/>
        </w:numPr>
        <w:spacing w:before="120" w:after="240"/>
        <w:rPr>
          <w:rFonts w:cs="Arial"/>
          <w:szCs w:val="24"/>
        </w:rPr>
      </w:pPr>
      <w:r>
        <w:t>Xedapen iragankor bakarra. Europako araudira egokitzea: ezartzen du habitat naturalak eta fauna eta flora basatiak babesteko Kontseiluaren 1992ko maiatzaren 21eko 92/43/EEE Zuzentarauak ezarritako otsoa babesteko erregimenaren aldaketak, automatikoki eragingo duela aipatutako otsailaren 4ko 139/2011 Errege Dekretuaren aldaketa, zehazki, otso populazio guztiak Babes Bereziko Erregimeneko Espezie Basatien Zerrendatik kanpo geratzea eragingo du.</w:t>
      </w:r>
    </w:p>
    <w:p w14:paraId="684250DC" w14:textId="77777777" w:rsidR="00C225A8" w:rsidRPr="00516ADA" w:rsidRDefault="00C225A8" w:rsidP="00C225A8">
      <w:pPr>
        <w:spacing w:before="120" w:after="240"/>
        <w:ind w:firstLine="567"/>
        <w:rPr>
          <w:rFonts w:cs="Arial"/>
          <w:szCs w:val="24"/>
        </w:rPr>
      </w:pPr>
      <w:r>
        <w:t xml:space="preserve">Bestalde, Europako Batzordeak Europan otsoaren babes-estatusa aldatzeko eskatu zion Europako Bizitza Basatia eta Ingurune Naturala Kontserbatzeko Hitzarmenaren (Bernako Hitzarmena) batzorde iraunkorrari. </w:t>
      </w:r>
      <w:r>
        <w:lastRenderedPageBreak/>
        <w:t xml:space="preserve">Bada, 2024ko abenduaren 6an, Bernako Hitzarmenaren batzorde iraunkorrak Europar Batasunaren proposamena onartu zuen, eta otsoa II. gehigarritik (zorrozki babestutako fauna espeziak) III. gehigarrira (babestutako fauna espezieak) eraman zuen. Erabakia hiru hilabete geroago sartu zen indarrean, Bernako Hitzarmenaren 17. artikuluan ezarritako prozedurarekin bat. </w:t>
      </w:r>
    </w:p>
    <w:p w14:paraId="5324EB47" w14:textId="77777777" w:rsidR="00C225A8" w:rsidRPr="00516ADA" w:rsidRDefault="00C225A8" w:rsidP="00C225A8">
      <w:pPr>
        <w:spacing w:before="120" w:after="240"/>
        <w:ind w:firstLine="567"/>
        <w:rPr>
          <w:rFonts w:cs="Arial"/>
          <w:szCs w:val="24"/>
        </w:rPr>
      </w:pPr>
      <w:r>
        <w:t>Aldaketa indarrean jartzean, aldaketa Bernako Hitzarmenaren markoan jasota geratzea helburu hartuta, Europako Batzordeak martxan jarri ditu habitat naturalak eta fauna eta flora basatiak babesteko 92/43/EEE Zuzentarauaren eranskinak aldatzeko izapideak, otsoaren gaineko aipamena IV. eranskinetik V. eranskinera eramatea xede.</w:t>
      </w:r>
    </w:p>
    <w:p w14:paraId="4A62D716" w14:textId="77777777" w:rsidR="00452640" w:rsidRPr="00516ADA" w:rsidRDefault="00452640" w:rsidP="00AF7841">
      <w:pPr>
        <w:spacing w:before="120" w:after="240"/>
        <w:ind w:firstLine="567"/>
        <w:rPr>
          <w:rFonts w:cs="Arial"/>
          <w:szCs w:val="24"/>
        </w:rPr>
      </w:pPr>
      <w:r>
        <w:t>Horiek horrela, Europar Batasuneko indarreko esparru normatiboak aukera emango du otsoaren kudeaketa egokitzeko aintzat hartuta espeziearen presentzia zenbaterainokoa den, otsoaren eta gizakien jardueren arteko interakzioa eta beste; hau da, tokian tokiko egoera partikular eta heterogeneoak aintzat hartuko dira bai estatuz estatu bai eremu europarrean. Azken batean, lurralde bakoitzak aukera izango du dituen berezitasunen arabera heltzeko bai espeziearen kontserbazioaren auziari bai otsoak abeltzaintza estentsiboa bezalako jarduerekin izan beharreko elkarreraginaren auziari ere. Ildo horretan, Diputatuen Kongresuan egindako aldaketak zuzenean Nafarroako Foru Komunitateari eragiten ez badio ere –izan ere, azaldu bezala, uneotan bertan ez dago otso populaziorik–, positibotzat jotzen da, aukera ematen baitu otso populazioak egon badauden autonomia-erkidegoetan espeziaren kudeaketa tokian tokiko egoerara eta berezitasunenetara egokitzeko.   </w:t>
      </w:r>
    </w:p>
    <w:p w14:paraId="4CE24E18" w14:textId="77777777" w:rsidR="00516ADA" w:rsidRPr="00516ADA" w:rsidRDefault="00516ADA" w:rsidP="00C225A8">
      <w:pPr>
        <w:spacing w:before="120" w:after="240"/>
        <w:ind w:firstLine="567"/>
        <w:rPr>
          <w:rFonts w:cs="Arial"/>
          <w:szCs w:val="24"/>
        </w:rPr>
      </w:pPr>
    </w:p>
    <w:p w14:paraId="20DAC62A" w14:textId="77777777" w:rsidR="00C225A8" w:rsidRPr="00516ADA" w:rsidRDefault="00C225A8" w:rsidP="00363672">
      <w:pPr>
        <w:numPr>
          <w:ilvl w:val="0"/>
          <w:numId w:val="18"/>
        </w:numPr>
        <w:autoSpaceDE w:val="0"/>
        <w:autoSpaceDN w:val="0"/>
        <w:adjustRightInd w:val="0"/>
        <w:spacing w:line="240" w:lineRule="auto"/>
        <w:rPr>
          <w:rFonts w:cs="Arial"/>
          <w:b/>
          <w:szCs w:val="24"/>
        </w:rPr>
      </w:pPr>
      <w:r>
        <w:rPr>
          <w:b/>
        </w:rPr>
        <w:t>Nafarroako Gobernuak zer neurri edo ekimen inplementatzea aurreikusten du?</w:t>
      </w:r>
    </w:p>
    <w:p w14:paraId="03F0EBC3" w14:textId="77777777" w:rsidR="007077DE" w:rsidRPr="00516ADA" w:rsidRDefault="007077DE" w:rsidP="00151429">
      <w:pPr>
        <w:autoSpaceDE w:val="0"/>
        <w:autoSpaceDN w:val="0"/>
        <w:adjustRightInd w:val="0"/>
        <w:spacing w:line="240" w:lineRule="auto"/>
        <w:rPr>
          <w:rFonts w:cs="Arial"/>
          <w:b/>
          <w:szCs w:val="24"/>
        </w:rPr>
      </w:pPr>
    </w:p>
    <w:p w14:paraId="4C915BA6" w14:textId="77777777" w:rsidR="00151429" w:rsidRPr="00516ADA" w:rsidRDefault="00151429" w:rsidP="00151429">
      <w:pPr>
        <w:spacing w:before="120" w:after="240"/>
        <w:ind w:firstLine="567"/>
        <w:rPr>
          <w:rFonts w:cs="Arial"/>
          <w:szCs w:val="24"/>
        </w:rPr>
      </w:pPr>
      <w:r>
        <w:t xml:space="preserve">Nafarroako Gobernua jakitun da harrapari handien kudeaketak lotura zuzena duela abeltzaintza estentsiboarekin. Ildo horretan, abeltzaintza mota </w:t>
      </w:r>
      <w:r>
        <w:lastRenderedPageBreak/>
        <w:t>horren garrantzia nabarmentzen du, ez soilik ikuspuntu sozialetik eta herritarrak landa guneetan finkatzeari dagokionez, baizik eta larre naturalen ekosistemekin lotutako ingurumen balioen kontserbazioarekin lotuta ere, adibidez, Batasunaren intereseko espezie eta habitat ugari, asko mehatxupean daudenak. Era berean, desagertzeko arriskuan dauden ganadu arrazak mantentzeko ere garrantzitsua da abeltzaintza estentsiboa. Are, sastrakak hedatzea saihesten du, larreen kontserbazioa ahalbidetuz eta sute arriskua murriztuz.</w:t>
      </w:r>
    </w:p>
    <w:p w14:paraId="7F75D7E7" w14:textId="77777777" w:rsidR="00151429" w:rsidRPr="00516ADA" w:rsidRDefault="00151429" w:rsidP="00151429">
      <w:pPr>
        <w:spacing w:before="120" w:after="240"/>
        <w:ind w:firstLine="567"/>
        <w:rPr>
          <w:rFonts w:cs="Arial"/>
          <w:szCs w:val="24"/>
        </w:rPr>
      </w:pPr>
      <w:r>
        <w:t>Horrenbestez, abeltzaintza estentsiboa “multifuntzionaltasun” kontzeptuarekin lotuta dago, zerbitzu ekonomikoen, sozialen eta ingurumenekoan osagarria baita.</w:t>
      </w:r>
    </w:p>
    <w:p w14:paraId="66E8A8A2" w14:textId="77777777" w:rsidR="00151429" w:rsidRPr="00516ADA" w:rsidRDefault="00151429" w:rsidP="00C225A8">
      <w:pPr>
        <w:autoSpaceDE w:val="0"/>
        <w:autoSpaceDN w:val="0"/>
        <w:adjustRightInd w:val="0"/>
        <w:ind w:firstLine="567"/>
        <w:rPr>
          <w:rFonts w:cs="Arial"/>
          <w:szCs w:val="24"/>
        </w:rPr>
      </w:pPr>
      <w:r>
        <w:t xml:space="preserve">Hori dela eta, Nafarroako Gobernua neurriak ezartzen ari da abeltzaintza estentsiboa egiten den lurraldeetan harrapari handien presentziak eragiten dituen gatazkak minimizatzeko asmoz. Orain artean, ekialdeko Pirinioetako gune oso lokalizatu batean soilik izan dira arazoak harraparien presentziagatik, zehazki udan zehar bertan agertutako hartz arreen ondorioz. Bada, Landa Garapeneko eta Ingurumeneko Departamentuak, espresuki babes neurrien inplementazioa sustatzera bideratutako nekazaritza- eta ingurumen-neurri bat sartu zuen Nekazaritza Politika Erkidearen Plan Estrategikoan (2023-2027). </w:t>
      </w:r>
    </w:p>
    <w:p w14:paraId="069A4877" w14:textId="77777777" w:rsidR="00151429" w:rsidRPr="00516ADA" w:rsidRDefault="00151429" w:rsidP="00C225A8">
      <w:pPr>
        <w:autoSpaceDE w:val="0"/>
        <w:autoSpaceDN w:val="0"/>
        <w:adjustRightInd w:val="0"/>
        <w:ind w:firstLine="567"/>
        <w:rPr>
          <w:rFonts w:cs="Arial"/>
          <w:szCs w:val="24"/>
        </w:rPr>
      </w:pPr>
    </w:p>
    <w:p w14:paraId="67DAA923" w14:textId="77777777" w:rsidR="00C225A8" w:rsidRPr="00516ADA" w:rsidRDefault="00C225A8" w:rsidP="00C225A8">
      <w:pPr>
        <w:autoSpaceDE w:val="0"/>
        <w:autoSpaceDN w:val="0"/>
        <w:adjustRightInd w:val="0"/>
        <w:ind w:firstLine="567"/>
        <w:rPr>
          <w:rFonts w:cs="Arial"/>
          <w:szCs w:val="24"/>
        </w:rPr>
      </w:pPr>
      <w:r>
        <w:t>Nafarroan etorkizunean harrapari handien presentzia handiagoa abeltzaintza estentsiboaren garapen normalerako arazo bilakatu daitekeela aurreikusita, 2024ko Nekazaritza Politika Erkideko laguntzak eskatzeko orduan, aipatu nekazaritza- eta ingurumen-neurria ezarri zen lurralde osoan, helburu hartuta abeltzainei ahalbidetzea pixkanaka-pixkanaka prestatu daitezen ganadu taldeak harrapari handien presentzia hipotetikotik babesteko.</w:t>
      </w:r>
    </w:p>
    <w:p w14:paraId="4A978E7D" w14:textId="77777777" w:rsidR="00C225A8" w:rsidRPr="00516ADA" w:rsidRDefault="00C225A8" w:rsidP="00C225A8">
      <w:pPr>
        <w:autoSpaceDE w:val="0"/>
        <w:autoSpaceDN w:val="0"/>
        <w:adjustRightInd w:val="0"/>
        <w:ind w:firstLine="567"/>
        <w:rPr>
          <w:rFonts w:cs="Arial"/>
          <w:szCs w:val="24"/>
        </w:rPr>
      </w:pPr>
    </w:p>
    <w:p w14:paraId="33422508" w14:textId="77777777" w:rsidR="00C225A8" w:rsidRPr="00516ADA" w:rsidRDefault="00C225A8" w:rsidP="00C225A8">
      <w:pPr>
        <w:autoSpaceDE w:val="0"/>
        <w:autoSpaceDN w:val="0"/>
        <w:adjustRightInd w:val="0"/>
        <w:ind w:firstLine="567"/>
        <w:rPr>
          <w:rFonts w:cs="Arial"/>
          <w:szCs w:val="24"/>
        </w:rPr>
      </w:pPr>
      <w:r>
        <w:t>Nekazaritza- eta ingurumen-laguntza abeltzainei ganadu taldeak babesteko erraztasunak ematean datza, zehazki, lau neurriren bitartez:</w:t>
      </w:r>
    </w:p>
    <w:p w14:paraId="0B9372A9" w14:textId="77777777" w:rsidR="00C225A8" w:rsidRPr="00516ADA" w:rsidRDefault="00C225A8" w:rsidP="00C225A8">
      <w:pPr>
        <w:autoSpaceDE w:val="0"/>
        <w:autoSpaceDN w:val="0"/>
        <w:adjustRightInd w:val="0"/>
        <w:ind w:firstLine="567"/>
        <w:rPr>
          <w:rFonts w:cs="Arial"/>
          <w:szCs w:val="24"/>
        </w:rPr>
      </w:pPr>
    </w:p>
    <w:p w14:paraId="32A26D33" w14:textId="77777777" w:rsidR="00C225A8" w:rsidRPr="00516ADA" w:rsidRDefault="00C225A8" w:rsidP="00363672">
      <w:pPr>
        <w:numPr>
          <w:ilvl w:val="0"/>
          <w:numId w:val="19"/>
        </w:numPr>
        <w:autoSpaceDE w:val="0"/>
        <w:autoSpaceDN w:val="0"/>
        <w:adjustRightInd w:val="0"/>
        <w:rPr>
          <w:rFonts w:cs="Arial"/>
          <w:szCs w:val="24"/>
        </w:rPr>
      </w:pPr>
      <w:r>
        <w:rPr>
          <w:b/>
          <w:u w:val="single"/>
        </w:rPr>
        <w:lastRenderedPageBreak/>
        <w:t>1. neurria – Geolokalizatzaileak:</w:t>
      </w:r>
      <w:r>
        <w:t xml:space="preserve"> abeltzainek ganadua non dagoen jakin dezakete zehaztasun osoz, eta, horrenbestez, animaliak zaintzea eta babestea askoz errazagoa bilakatzen da. Animaliak landan direla izandako edozein gertaeraren berri jaso dezakete abeltzainek.</w:t>
      </w:r>
    </w:p>
    <w:p w14:paraId="1C441306" w14:textId="77777777" w:rsidR="00C225A8" w:rsidRPr="00516ADA" w:rsidRDefault="00C225A8" w:rsidP="00363672">
      <w:pPr>
        <w:autoSpaceDE w:val="0"/>
        <w:autoSpaceDN w:val="0"/>
        <w:adjustRightInd w:val="0"/>
        <w:ind w:left="720"/>
        <w:rPr>
          <w:rFonts w:cs="Arial"/>
          <w:szCs w:val="24"/>
        </w:rPr>
      </w:pPr>
    </w:p>
    <w:p w14:paraId="7A9A8A51" w14:textId="77777777" w:rsidR="00C225A8" w:rsidRPr="00516ADA" w:rsidRDefault="00C225A8" w:rsidP="00363672">
      <w:pPr>
        <w:numPr>
          <w:ilvl w:val="0"/>
          <w:numId w:val="19"/>
        </w:numPr>
        <w:autoSpaceDE w:val="0"/>
        <w:autoSpaceDN w:val="0"/>
        <w:adjustRightInd w:val="0"/>
        <w:rPr>
          <w:rFonts w:cs="Arial"/>
          <w:szCs w:val="24"/>
        </w:rPr>
      </w:pPr>
      <w:r>
        <w:rPr>
          <w:b/>
          <w:u w:val="single"/>
        </w:rPr>
        <w:t>2. neurria – Aldi baterako gaua igarotzeko egiturak:</w:t>
      </w:r>
      <w:r>
        <w:t xml:space="preserve"> ganadua gauean zehar babesteko aukera ematen dute, hau da, harraparien erasoak izateko aukera handiena dagoen unean.</w:t>
      </w:r>
    </w:p>
    <w:p w14:paraId="15B94E06" w14:textId="77777777" w:rsidR="00C225A8" w:rsidRPr="00516ADA" w:rsidRDefault="00C225A8" w:rsidP="00363672">
      <w:pPr>
        <w:autoSpaceDE w:val="0"/>
        <w:autoSpaceDN w:val="0"/>
        <w:adjustRightInd w:val="0"/>
        <w:rPr>
          <w:rFonts w:cs="Arial"/>
          <w:szCs w:val="24"/>
        </w:rPr>
      </w:pPr>
    </w:p>
    <w:p w14:paraId="00F2F4C1" w14:textId="77777777" w:rsidR="00C225A8" w:rsidRPr="00516ADA" w:rsidRDefault="00C225A8" w:rsidP="00363672">
      <w:pPr>
        <w:numPr>
          <w:ilvl w:val="0"/>
          <w:numId w:val="19"/>
        </w:numPr>
        <w:autoSpaceDE w:val="0"/>
        <w:autoSpaceDN w:val="0"/>
        <w:adjustRightInd w:val="0"/>
        <w:rPr>
          <w:rFonts w:cs="Arial"/>
          <w:szCs w:val="24"/>
        </w:rPr>
      </w:pPr>
      <w:r>
        <w:rPr>
          <w:b/>
          <w:u w:val="single"/>
        </w:rPr>
        <w:t>3. neurria – Txakur zaintzaileak:</w:t>
      </w:r>
      <w:r>
        <w:t xml:space="preserve"> antzeko arazoak dauden leku askotan, ganadu taldeak batzeko eta abeltzaintza optimizatzeko kudeaketako erreminta eraginkorra direla egiaztatu da, bai eta harrapariak saihesteko ere.</w:t>
      </w:r>
    </w:p>
    <w:p w14:paraId="03A448EA" w14:textId="77777777" w:rsidR="00C225A8" w:rsidRPr="00516ADA" w:rsidRDefault="00C225A8" w:rsidP="00363672">
      <w:pPr>
        <w:autoSpaceDE w:val="0"/>
        <w:autoSpaceDN w:val="0"/>
        <w:adjustRightInd w:val="0"/>
        <w:rPr>
          <w:rFonts w:cs="Arial"/>
          <w:szCs w:val="24"/>
        </w:rPr>
      </w:pPr>
    </w:p>
    <w:p w14:paraId="508DE058" w14:textId="77777777" w:rsidR="00C225A8" w:rsidRPr="00516ADA" w:rsidRDefault="00C225A8" w:rsidP="00363672">
      <w:pPr>
        <w:numPr>
          <w:ilvl w:val="0"/>
          <w:numId w:val="19"/>
        </w:numPr>
        <w:autoSpaceDE w:val="0"/>
        <w:autoSpaceDN w:val="0"/>
        <w:adjustRightInd w:val="0"/>
        <w:rPr>
          <w:rFonts w:cs="Arial"/>
          <w:szCs w:val="24"/>
        </w:rPr>
      </w:pPr>
      <w:r>
        <w:rPr>
          <w:b/>
          <w:u w:val="single"/>
        </w:rPr>
        <w:t>4. neurria – Zaintza-lanetan laguntzea arrisku eremuetan egiten den artzaintza estentsiboan</w:t>
      </w:r>
      <w:r>
        <w:t>. Abeltzaina ganaduarekin landan egotea funtsezko kudeaketako erreminta da abeltzaintza estentsiboan, bai ganadu taldearen zaintzan eta maneiuan egiten duen ekarpenagatik, bai basafaunarekin, basati bihurtutako txakurrekin eta bestelako arriskuekin interakzioa nabarmen txikitzea ahalbidetzen duelako ere.</w:t>
      </w:r>
    </w:p>
    <w:p w14:paraId="6DE4832A" w14:textId="77777777" w:rsidR="00C225A8" w:rsidRPr="00516ADA" w:rsidRDefault="00C225A8" w:rsidP="00C225A8">
      <w:pPr>
        <w:spacing w:after="200" w:line="276" w:lineRule="auto"/>
        <w:ind w:left="720"/>
        <w:contextualSpacing/>
        <w:jc w:val="left"/>
        <w:rPr>
          <w:rFonts w:ascii="Verdana" w:eastAsia="Calibri" w:hAnsi="Verdana"/>
          <w:szCs w:val="24"/>
          <w:lang w:eastAsia="en-US"/>
        </w:rPr>
      </w:pPr>
    </w:p>
    <w:p w14:paraId="7288D21F" w14:textId="77777777" w:rsidR="00C225A8" w:rsidRPr="00516ADA" w:rsidRDefault="00C225A8" w:rsidP="00C225A8">
      <w:pPr>
        <w:autoSpaceDE w:val="0"/>
        <w:autoSpaceDN w:val="0"/>
        <w:adjustRightInd w:val="0"/>
        <w:ind w:left="720"/>
        <w:rPr>
          <w:rFonts w:cs="Arial"/>
          <w:szCs w:val="24"/>
        </w:rPr>
      </w:pPr>
      <w:r>
        <w:t>Nekazaritza- eta ingurumen-neurriak, berria izan arren, 60 abeltzaini ahalbidetu die 2024an beharrezko neurriak ezartzea; guztira, laguntza ekonomikoa 120.000 eurokoa izan da. Neurriak 2025ean ere harrera ona izatea aurreikusten da; gainera, laguntzaren baldintzak hobetu egin dira.</w:t>
      </w:r>
    </w:p>
    <w:p w14:paraId="05F1F6D0" w14:textId="77777777" w:rsidR="00C225A8" w:rsidRPr="00516ADA" w:rsidRDefault="00C225A8" w:rsidP="00C225A8">
      <w:pPr>
        <w:autoSpaceDE w:val="0"/>
        <w:autoSpaceDN w:val="0"/>
        <w:adjustRightInd w:val="0"/>
        <w:ind w:left="720"/>
        <w:rPr>
          <w:rFonts w:cs="Arial"/>
          <w:szCs w:val="24"/>
        </w:rPr>
      </w:pPr>
    </w:p>
    <w:p w14:paraId="2E962D4E" w14:textId="77777777" w:rsidR="00C225A8" w:rsidRDefault="00C225A8" w:rsidP="00C225A8">
      <w:pPr>
        <w:autoSpaceDE w:val="0"/>
        <w:autoSpaceDN w:val="0"/>
        <w:adjustRightInd w:val="0"/>
        <w:ind w:left="720"/>
        <w:rPr>
          <w:rFonts w:cs="Arial"/>
          <w:szCs w:val="24"/>
        </w:rPr>
      </w:pPr>
      <w:r>
        <w:t xml:space="preserve">Era berean, abeltzaintza estentsiboa laguntzeko askoz, Departamentuak abeltzaintzako sistema jasangarrien nekazaritza- eta ingurumen-laguntza indartzea izapidetu du Nekazaritza, Arrantza eta Elikadura Ministerioan, bereziki Erronkarin, foru-komunitateko gainontzeko lurraldeekin alderatuta, bertan identifikatu baita jardueraren beherakada </w:t>
      </w:r>
      <w:r>
        <w:lastRenderedPageBreak/>
        <w:t xml:space="preserve">nabarmenena. Horrenbestez, hektareako 24,92 euroko prima gehigarri bat ezarri da, aldez aurretik zegoen hektareako 28 euroko oinarrizko primari gehituta; aurreikuspena Ministerioak ezarritako prima gehigarria 2025eko uztailean onartzea da, Nekazaritza Politika Erkidearen Plan Estrategikoaren aldaketa aurreikuspenaren barruan. </w:t>
      </w:r>
    </w:p>
    <w:p w14:paraId="5254D576" w14:textId="77777777" w:rsidR="003750FF" w:rsidRDefault="003750FF" w:rsidP="00C37FE7">
      <w:pPr>
        <w:autoSpaceDE w:val="0"/>
        <w:autoSpaceDN w:val="0"/>
        <w:adjustRightInd w:val="0"/>
        <w:ind w:left="720"/>
        <w:rPr>
          <w:rFonts w:cs="Arial"/>
          <w:szCs w:val="24"/>
        </w:rPr>
      </w:pPr>
    </w:p>
    <w:p w14:paraId="1B8DFEB0" w14:textId="77777777" w:rsidR="00C37FE7" w:rsidRPr="00D16843" w:rsidRDefault="003750FF" w:rsidP="00C37FE7">
      <w:pPr>
        <w:autoSpaceDE w:val="0"/>
        <w:autoSpaceDN w:val="0"/>
        <w:adjustRightInd w:val="0"/>
        <w:ind w:firstLine="567"/>
        <w:rPr>
          <w:rFonts w:cs="Arial"/>
          <w:szCs w:val="24"/>
        </w:rPr>
      </w:pPr>
      <w:r>
        <w:t>Ingurumen Zuzendaritza Nagusiak sustatuko ekintza-zehatzen beste multzo bat, zuzenean Departamentuak sustatutako jarduketen bitartez gauzatzen da. Honako hauek dira ekintzotako batzuk:</w:t>
      </w:r>
    </w:p>
    <w:p w14:paraId="31707237" w14:textId="77777777" w:rsidR="00D16843" w:rsidRPr="00D16843" w:rsidRDefault="00D16843" w:rsidP="00D16843">
      <w:pPr>
        <w:pStyle w:val="Prrafodelista"/>
        <w:numPr>
          <w:ilvl w:val="0"/>
          <w:numId w:val="24"/>
        </w:numPr>
        <w:autoSpaceDE w:val="0"/>
        <w:autoSpaceDN w:val="0"/>
        <w:adjustRightInd w:val="0"/>
        <w:jc w:val="both"/>
        <w:rPr>
          <w:rFonts w:cs="Arial"/>
        </w:rPr>
      </w:pPr>
      <w:r>
        <w:t xml:space="preserve">Basoen Zerbitzuak egindako inbertsio zuzenak, pistak, askak eta abeltzaintzako azpiegiturak egiteko. 2024an abeltzaintza estentsiboa sustatzeko Nafarroako Foru Komunitatean egindako inbertsioek 898.060,54 euroko balioa izan zuten guztira. </w:t>
      </w:r>
    </w:p>
    <w:p w14:paraId="41DA7E5F" w14:textId="77777777" w:rsidR="00D16843" w:rsidRDefault="00D16843" w:rsidP="00D16843">
      <w:pPr>
        <w:pStyle w:val="Prrafodelista"/>
        <w:numPr>
          <w:ilvl w:val="0"/>
          <w:numId w:val="24"/>
        </w:numPr>
        <w:autoSpaceDE w:val="0"/>
        <w:autoSpaceDN w:val="0"/>
        <w:adjustRightInd w:val="0"/>
        <w:jc w:val="both"/>
        <w:rPr>
          <w:rFonts w:cs="Arial"/>
        </w:rPr>
      </w:pPr>
      <w:r>
        <w:t xml:space="preserve">2024an basoak antolatzeko sei proiektu egitea lizitatu zen, eta guztiek dute larreak antolatzeko eranskin espezifikoa. Horrez gain, uneotan Uztarrozeko larreak antolatzeko plana idazten ari da, Erronkariko Ibaxaren Batzordeak proposatuta. </w:t>
      </w:r>
    </w:p>
    <w:p w14:paraId="762EECE8" w14:textId="77777777" w:rsidR="005B2C43" w:rsidRPr="005B2C43" w:rsidRDefault="005B2C43" w:rsidP="005B2C43">
      <w:pPr>
        <w:pStyle w:val="Prrafodelista"/>
        <w:numPr>
          <w:ilvl w:val="0"/>
          <w:numId w:val="24"/>
        </w:numPr>
        <w:autoSpaceDE w:val="0"/>
        <w:autoSpaceDN w:val="0"/>
        <w:adjustRightInd w:val="0"/>
        <w:jc w:val="both"/>
        <w:rPr>
          <w:rFonts w:cs="Arial"/>
        </w:rPr>
      </w:pPr>
      <w:r>
        <w:t>Harraparien jarraipena egiteko neurrien inplementazioa. 2024an harraparien jarraipena egiteko hamar kamera eskuratu ziren, animaliak igarotzean automatikoki aktibatzen direnak; aurten beste hamar eskuratu dira, jarraipen-puntuen sarea indartzeko. Era berean, ileen laginak hartzeko puntuen sare bat ere badago, Nafarroan agertzen diren harrapariak identifikatzea ahalbidetzen duena analisi genetikoen bitartez.</w:t>
      </w:r>
    </w:p>
    <w:p w14:paraId="01437DCA" w14:textId="77777777" w:rsidR="00D16843" w:rsidRPr="00D16843" w:rsidRDefault="005B2C43" w:rsidP="00D16843">
      <w:pPr>
        <w:pStyle w:val="Prrafodelista"/>
        <w:numPr>
          <w:ilvl w:val="0"/>
          <w:numId w:val="24"/>
        </w:numPr>
        <w:autoSpaceDE w:val="0"/>
        <w:autoSpaceDN w:val="0"/>
        <w:adjustRightInd w:val="0"/>
        <w:jc w:val="both"/>
        <w:rPr>
          <w:rFonts w:cs="Arial"/>
        </w:rPr>
      </w:pPr>
      <w:r>
        <w:t xml:space="preserve">Behar beste jarraipen-mahai martxan jartzeko konpromisoa, harrapari handien kudeaketari ekiteko Nafarroan tokian tokiko erakundeekin eta herritarrekin elkarlanean. Uneotan, Hartzaren Mahaia martxan dago Erronkarin. </w:t>
      </w:r>
    </w:p>
    <w:p w14:paraId="153D6B74" w14:textId="77777777" w:rsidR="00C37FE7" w:rsidRPr="00516ADA" w:rsidRDefault="00C37FE7" w:rsidP="00D16843">
      <w:pPr>
        <w:pStyle w:val="Prrafodelista"/>
        <w:autoSpaceDE w:val="0"/>
        <w:autoSpaceDN w:val="0"/>
        <w:adjustRightInd w:val="0"/>
        <w:ind w:left="1287"/>
        <w:jc w:val="both"/>
        <w:rPr>
          <w:rFonts w:cs="Arial"/>
        </w:rPr>
      </w:pPr>
    </w:p>
    <w:p w14:paraId="704FF60A" w14:textId="77777777" w:rsidR="00363672" w:rsidRPr="00516ADA" w:rsidRDefault="00C225A8" w:rsidP="00E60BD8">
      <w:pPr>
        <w:autoSpaceDE w:val="0"/>
        <w:autoSpaceDN w:val="0"/>
        <w:adjustRightInd w:val="0"/>
        <w:ind w:firstLine="567"/>
        <w:rPr>
          <w:rFonts w:cs="Arial"/>
          <w:szCs w:val="24"/>
        </w:rPr>
      </w:pPr>
      <w:r>
        <w:lastRenderedPageBreak/>
        <w:t xml:space="preserve">Azkenik, basafaunak eragindako kalteak daudenean abeltzaintza estentsiboan, Landa Garapeneko eta Ingurumeneko Departamentuak bere gain hartzen du dagokion kalte-ordainen ordainketa. Egun kalte-ordainen zenbatekoak eguneratzeko lanean ari gara, helburu hartuta kopuru berriak dagoeneko 2025ean izan litezkeen kalteetan ere aplikatzea. </w:t>
      </w:r>
    </w:p>
    <w:p w14:paraId="469ECC1D" w14:textId="77777777" w:rsidR="00363672" w:rsidRPr="00516ADA" w:rsidRDefault="00363672">
      <w:pPr>
        <w:spacing w:line="240" w:lineRule="auto"/>
        <w:jc w:val="left"/>
        <w:rPr>
          <w:rFonts w:cs="Arial"/>
          <w:szCs w:val="24"/>
        </w:rPr>
      </w:pPr>
    </w:p>
    <w:p w14:paraId="55095B1C" w14:textId="77777777" w:rsidR="00A56CCF" w:rsidRPr="00516ADA" w:rsidRDefault="00A56CCF" w:rsidP="00A56CCF">
      <w:pPr>
        <w:ind w:firstLine="540"/>
        <w:rPr>
          <w:rFonts w:cs="Arial"/>
          <w:szCs w:val="24"/>
        </w:rPr>
      </w:pPr>
      <w:r>
        <w:t>Hori guztia jakinarazten dizut, Nafarroako Parlamentuko Erregelamenduaren 215. artikulua betez.</w:t>
      </w:r>
    </w:p>
    <w:p w14:paraId="62F9348F" w14:textId="77777777" w:rsidR="00BC3A3A" w:rsidRPr="00516ADA" w:rsidRDefault="00BC3A3A" w:rsidP="00A56CCF">
      <w:pPr>
        <w:ind w:firstLine="540"/>
        <w:rPr>
          <w:rFonts w:cs="Arial"/>
          <w:szCs w:val="24"/>
        </w:rPr>
      </w:pPr>
    </w:p>
    <w:p w14:paraId="0D6247AA" w14:textId="796D0CF9" w:rsidR="00934199" w:rsidRPr="00516ADA" w:rsidRDefault="00CB79FC" w:rsidP="00697CA3">
      <w:pPr>
        <w:jc w:val="center"/>
        <w:rPr>
          <w:rFonts w:cs="Arial"/>
          <w:szCs w:val="24"/>
        </w:rPr>
      </w:pPr>
      <w:r>
        <w:t>Iruñean, 2025eko apirilaren 24an</w:t>
      </w:r>
    </w:p>
    <w:p w14:paraId="0E6405F3" w14:textId="77777777" w:rsidR="006C093B" w:rsidRPr="00516ADA" w:rsidRDefault="006C093B" w:rsidP="00A56CCF">
      <w:pPr>
        <w:rPr>
          <w:rFonts w:cs="Arial"/>
          <w:szCs w:val="24"/>
        </w:rPr>
      </w:pPr>
    </w:p>
    <w:p w14:paraId="2E44EFCE" w14:textId="77777777" w:rsidR="009C4934" w:rsidRPr="00516ADA" w:rsidRDefault="009C4934" w:rsidP="009C4934">
      <w:pPr>
        <w:jc w:val="center"/>
        <w:outlineLvl w:val="0"/>
        <w:rPr>
          <w:rFonts w:cs="Arial"/>
          <w:szCs w:val="24"/>
        </w:rPr>
      </w:pPr>
      <w:r>
        <w:t xml:space="preserve"> </w:t>
      </w:r>
    </w:p>
    <w:p w14:paraId="25B071FA" w14:textId="77777777" w:rsidR="009C4934" w:rsidRPr="00516ADA" w:rsidRDefault="009C4934" w:rsidP="009C4934">
      <w:pPr>
        <w:jc w:val="center"/>
        <w:outlineLvl w:val="0"/>
        <w:rPr>
          <w:rFonts w:cs="Arial"/>
          <w:szCs w:val="24"/>
        </w:rPr>
      </w:pPr>
      <w:r>
        <w:t>Landa Garapeneko eta Ingurumeneko Kontseilaria</w:t>
      </w:r>
    </w:p>
    <w:p w14:paraId="7D1149E0" w14:textId="77777777" w:rsidR="0083638A" w:rsidRPr="00363672" w:rsidRDefault="0083638A" w:rsidP="0083638A">
      <w:pPr>
        <w:jc w:val="center"/>
        <w:rPr>
          <w:rFonts w:cs="Arial"/>
          <w:szCs w:val="24"/>
        </w:rPr>
      </w:pPr>
    </w:p>
    <w:p w14:paraId="1B4C1036" w14:textId="77777777" w:rsidR="0083638A" w:rsidRPr="00363672" w:rsidRDefault="0083638A" w:rsidP="0083638A">
      <w:pPr>
        <w:jc w:val="center"/>
        <w:rPr>
          <w:rFonts w:cs="Arial"/>
          <w:szCs w:val="24"/>
        </w:rPr>
      </w:pPr>
    </w:p>
    <w:p w14:paraId="5016A894" w14:textId="77777777" w:rsidR="0083638A" w:rsidRPr="00363672" w:rsidRDefault="0083638A" w:rsidP="0083638A">
      <w:pPr>
        <w:jc w:val="center"/>
        <w:rPr>
          <w:rFonts w:cs="Arial"/>
          <w:szCs w:val="24"/>
        </w:rPr>
      </w:pPr>
    </w:p>
    <w:p w14:paraId="104E221D" w14:textId="77777777" w:rsidR="0083638A" w:rsidRPr="00363672" w:rsidRDefault="0083638A" w:rsidP="0083638A">
      <w:pPr>
        <w:jc w:val="center"/>
        <w:rPr>
          <w:rFonts w:cs="Arial"/>
          <w:szCs w:val="24"/>
        </w:rPr>
      </w:pPr>
    </w:p>
    <w:p w14:paraId="207F7F0A" w14:textId="77777777" w:rsidR="0083638A" w:rsidRPr="00363672" w:rsidRDefault="0083638A" w:rsidP="0083638A">
      <w:pPr>
        <w:ind w:firstLine="540"/>
        <w:jc w:val="center"/>
        <w:rPr>
          <w:rFonts w:cs="Arial"/>
          <w:color w:val="000000"/>
          <w:szCs w:val="24"/>
        </w:rPr>
      </w:pPr>
      <w:r>
        <w:rPr>
          <w:color w:val="000000"/>
        </w:rPr>
        <w:t>José María Aierdi Fernández de Barrena</w:t>
      </w:r>
    </w:p>
    <w:p w14:paraId="56396791" w14:textId="77777777" w:rsidR="00D77C2F" w:rsidRPr="00363672" w:rsidRDefault="00D77C2F" w:rsidP="0083638A">
      <w:pPr>
        <w:jc w:val="center"/>
        <w:rPr>
          <w:rFonts w:cs="Arial"/>
          <w:color w:val="000000"/>
          <w:szCs w:val="24"/>
        </w:rPr>
      </w:pPr>
    </w:p>
    <w:sectPr w:rsidR="00D77C2F" w:rsidRPr="00363672" w:rsidSect="00151429">
      <w:headerReference w:type="default" r:id="rId7"/>
      <w:footerReference w:type="even" r:id="rId8"/>
      <w:footerReference w:type="default" r:id="rId9"/>
      <w:pgSz w:w="11906" w:h="16838" w:code="9"/>
      <w:pgMar w:top="2374" w:right="1701" w:bottom="1843"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B560" w14:textId="77777777" w:rsidR="00C225A8" w:rsidRDefault="00C225A8" w:rsidP="00381BB8">
      <w:pPr>
        <w:pStyle w:val="Encabezado"/>
      </w:pPr>
      <w:r>
        <w:separator/>
      </w:r>
    </w:p>
  </w:endnote>
  <w:endnote w:type="continuationSeparator" w:id="0">
    <w:p w14:paraId="19D738BE" w14:textId="77777777" w:rsidR="00C225A8" w:rsidRDefault="00C225A8"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B025"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C225A8">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98E1" w14:textId="77777777" w:rsidR="00167769" w:rsidRPr="003158C1" w:rsidRDefault="00167769" w:rsidP="00167769">
    <w:pPr>
      <w:pBdr>
        <w:bottom w:val="single" w:sz="12" w:space="1" w:color="auto"/>
      </w:pBdr>
      <w:spacing w:line="240" w:lineRule="auto"/>
      <w:rPr>
        <w:rFonts w:cs="Arial"/>
        <w:color w:val="000000"/>
        <w:sz w:val="22"/>
        <w:szCs w:val="22"/>
      </w:rPr>
    </w:pPr>
    <w:r>
      <w:rPr>
        <w:color w:val="000000"/>
        <w:sz w:val="22"/>
      </w:rPr>
      <w:t>NAFARROAKO PARLAMENTUKO LEHENDAKARIA</w:t>
    </w:r>
  </w:p>
  <w:p w14:paraId="0D3DA803" w14:textId="77777777" w:rsidR="002B729A" w:rsidRPr="003158C1" w:rsidRDefault="00B07455" w:rsidP="003158C1">
    <w:pPr>
      <w:pStyle w:val="Piedepgina"/>
      <w:spacing w:before="120"/>
      <w:rPr>
        <w:rFonts w:cs="Arial"/>
        <w:sz w:val="22"/>
        <w:szCs w:val="22"/>
      </w:rPr>
    </w:pPr>
    <w:r>
      <w:rPr>
        <w:rStyle w:val="Nmerodepgina"/>
        <w:sz w:val="22"/>
      </w:rPr>
      <w:t>11-25/PES-00158</w:t>
    </w:r>
    <w:r>
      <w:rPr>
        <w:rStyle w:val="Nmerodepgina"/>
        <w:sz w:val="22"/>
      </w:rPr>
      <w:tab/>
    </w:r>
    <w:r>
      <w:rPr>
        <w:rStyle w:val="Nmerodepgina"/>
        <w:sz w:val="22"/>
      </w:rPr>
      <w:tab/>
    </w:r>
    <w:r w:rsidR="00167769" w:rsidRPr="003158C1">
      <w:rPr>
        <w:rStyle w:val="Nmerodepgina"/>
        <w:rFonts w:cs="Arial"/>
        <w:sz w:val="22"/>
      </w:rPr>
      <w:fldChar w:fldCharType="begin"/>
    </w:r>
    <w:r w:rsidR="00167769" w:rsidRPr="003158C1">
      <w:rPr>
        <w:rStyle w:val="Nmerodepgina"/>
        <w:rFonts w:cs="Arial"/>
        <w:sz w:val="22"/>
      </w:rPr>
      <w:instrText xml:space="preserve"> PAGE </w:instrText>
    </w:r>
    <w:r w:rsidR="00167769" w:rsidRPr="003158C1">
      <w:rPr>
        <w:rStyle w:val="Nmerodepgina"/>
        <w:rFonts w:cs="Arial"/>
        <w:sz w:val="22"/>
      </w:rPr>
      <w:fldChar w:fldCharType="separate"/>
    </w:r>
    <w:r w:rsidR="0073756A">
      <w:rPr>
        <w:rStyle w:val="Nmerodepgina"/>
        <w:rFonts w:cs="Arial"/>
        <w:sz w:val="22"/>
      </w:rPr>
      <w:t>1</w:t>
    </w:r>
    <w:r w:rsidR="00167769" w:rsidRPr="003158C1">
      <w:rPr>
        <w:rStyle w:val="Nmerodepgina"/>
        <w:rFonts w:cs="Arial"/>
        <w:sz w:val="22"/>
      </w:rPr>
      <w:fldChar w:fldCharType="end"/>
    </w:r>
    <w:r>
      <w:rPr>
        <w:rStyle w:val="Nmerodepgina"/>
        <w:sz w:val="22"/>
      </w:rPr>
      <w:t>/</w:t>
    </w:r>
    <w:r w:rsidR="00167769" w:rsidRPr="003158C1">
      <w:rPr>
        <w:rStyle w:val="Nmerodepgina"/>
        <w:rFonts w:cs="Arial"/>
        <w:sz w:val="22"/>
      </w:rPr>
      <w:fldChar w:fldCharType="begin"/>
    </w:r>
    <w:r w:rsidR="00167769" w:rsidRPr="003158C1">
      <w:rPr>
        <w:rStyle w:val="Nmerodepgina"/>
        <w:rFonts w:cs="Arial"/>
        <w:sz w:val="22"/>
      </w:rPr>
      <w:instrText xml:space="preserve"> NUMPAGES </w:instrText>
    </w:r>
    <w:r w:rsidR="00167769" w:rsidRPr="003158C1">
      <w:rPr>
        <w:rStyle w:val="Nmerodepgina"/>
        <w:rFonts w:cs="Arial"/>
        <w:sz w:val="22"/>
      </w:rPr>
      <w:fldChar w:fldCharType="separate"/>
    </w:r>
    <w:r w:rsidR="0073756A">
      <w:rPr>
        <w:rStyle w:val="Nmerodepgina"/>
        <w:rFonts w:cs="Arial"/>
        <w:sz w:val="22"/>
      </w:rPr>
      <w:t>7</w:t>
    </w:r>
    <w:r w:rsidR="00167769" w:rsidRPr="003158C1">
      <w:rPr>
        <w:rStyle w:val="Nmerodepgina"/>
        <w:rFonts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3563" w14:textId="77777777" w:rsidR="00C225A8" w:rsidRDefault="00C225A8" w:rsidP="00381BB8">
      <w:pPr>
        <w:pStyle w:val="Encabezado"/>
      </w:pPr>
      <w:r>
        <w:separator/>
      </w:r>
    </w:p>
  </w:footnote>
  <w:footnote w:type="continuationSeparator" w:id="0">
    <w:p w14:paraId="10B2A447" w14:textId="77777777" w:rsidR="00C225A8" w:rsidRDefault="00C225A8"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8C9A" w14:textId="77777777" w:rsidR="00797AF9" w:rsidRDefault="00C225A8" w:rsidP="00211860">
    <w:pPr>
      <w:pStyle w:val="Encabezado"/>
      <w:tabs>
        <w:tab w:val="clear" w:pos="8504"/>
        <w:tab w:val="right" w:pos="9072"/>
      </w:tabs>
      <w:ind w:right="-568"/>
    </w:pPr>
    <w:r>
      <w:rPr>
        <w:noProof/>
      </w:rPr>
      <w:drawing>
        <wp:anchor distT="0" distB="0" distL="114300" distR="114300" simplePos="0" relativeHeight="251657728" behindDoc="1" locked="0" layoutInCell="1" allowOverlap="1" wp14:anchorId="2D4D70A7" wp14:editId="0EE78738">
          <wp:simplePos x="0" y="0"/>
          <wp:positionH relativeFrom="page">
            <wp:posOffset>0</wp:posOffset>
          </wp:positionH>
          <wp:positionV relativeFrom="page">
            <wp:posOffset>0</wp:posOffset>
          </wp:positionV>
          <wp:extent cx="7541895" cy="17926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3C67410"/>
    <w:multiLevelType w:val="hybridMultilevel"/>
    <w:tmpl w:val="076042EA"/>
    <w:lvl w:ilvl="0" w:tplc="8530E71E">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7E95B3D"/>
    <w:multiLevelType w:val="hybridMultilevel"/>
    <w:tmpl w:val="05D64CB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323F5BFE"/>
    <w:multiLevelType w:val="hybridMultilevel"/>
    <w:tmpl w:val="E2BA7BA2"/>
    <w:lvl w:ilvl="0" w:tplc="65E0AEC2">
      <w:start w:val="1"/>
      <w:numFmt w:val="bullet"/>
      <w:lvlText w:val="•"/>
      <w:lvlJc w:val="left"/>
      <w:pPr>
        <w:tabs>
          <w:tab w:val="num" w:pos="720"/>
        </w:tabs>
        <w:ind w:left="720" w:hanging="360"/>
      </w:pPr>
      <w:rPr>
        <w:rFonts w:ascii="Arial" w:hAnsi="Arial" w:cs="Times New Roman" w:hint="default"/>
      </w:rPr>
    </w:lvl>
    <w:lvl w:ilvl="1" w:tplc="FA46D174">
      <w:start w:val="1"/>
      <w:numFmt w:val="bullet"/>
      <w:lvlText w:val="•"/>
      <w:lvlJc w:val="left"/>
      <w:pPr>
        <w:tabs>
          <w:tab w:val="num" w:pos="1440"/>
        </w:tabs>
        <w:ind w:left="1440" w:hanging="360"/>
      </w:pPr>
      <w:rPr>
        <w:rFonts w:ascii="Arial" w:hAnsi="Arial" w:cs="Times New Roman" w:hint="default"/>
      </w:rPr>
    </w:lvl>
    <w:lvl w:ilvl="2" w:tplc="09462268">
      <w:start w:val="1"/>
      <w:numFmt w:val="bullet"/>
      <w:lvlText w:val="•"/>
      <w:lvlJc w:val="left"/>
      <w:pPr>
        <w:tabs>
          <w:tab w:val="num" w:pos="2160"/>
        </w:tabs>
        <w:ind w:left="2160" w:hanging="360"/>
      </w:pPr>
      <w:rPr>
        <w:rFonts w:ascii="Arial" w:hAnsi="Arial" w:cs="Times New Roman" w:hint="default"/>
      </w:rPr>
    </w:lvl>
    <w:lvl w:ilvl="3" w:tplc="40BCB952">
      <w:start w:val="1"/>
      <w:numFmt w:val="bullet"/>
      <w:lvlText w:val="•"/>
      <w:lvlJc w:val="left"/>
      <w:pPr>
        <w:tabs>
          <w:tab w:val="num" w:pos="2880"/>
        </w:tabs>
        <w:ind w:left="2880" w:hanging="360"/>
      </w:pPr>
      <w:rPr>
        <w:rFonts w:ascii="Arial" w:hAnsi="Arial" w:cs="Times New Roman" w:hint="default"/>
      </w:rPr>
    </w:lvl>
    <w:lvl w:ilvl="4" w:tplc="2FBA8138">
      <w:start w:val="1"/>
      <w:numFmt w:val="bullet"/>
      <w:lvlText w:val="•"/>
      <w:lvlJc w:val="left"/>
      <w:pPr>
        <w:tabs>
          <w:tab w:val="num" w:pos="3600"/>
        </w:tabs>
        <w:ind w:left="3600" w:hanging="360"/>
      </w:pPr>
      <w:rPr>
        <w:rFonts w:ascii="Arial" w:hAnsi="Arial" w:cs="Times New Roman" w:hint="default"/>
      </w:rPr>
    </w:lvl>
    <w:lvl w:ilvl="5" w:tplc="DAE87E6C">
      <w:start w:val="1"/>
      <w:numFmt w:val="bullet"/>
      <w:lvlText w:val="•"/>
      <w:lvlJc w:val="left"/>
      <w:pPr>
        <w:tabs>
          <w:tab w:val="num" w:pos="4320"/>
        </w:tabs>
        <w:ind w:left="4320" w:hanging="360"/>
      </w:pPr>
      <w:rPr>
        <w:rFonts w:ascii="Arial" w:hAnsi="Arial" w:cs="Times New Roman" w:hint="default"/>
      </w:rPr>
    </w:lvl>
    <w:lvl w:ilvl="6" w:tplc="94809778">
      <w:start w:val="1"/>
      <w:numFmt w:val="bullet"/>
      <w:lvlText w:val="•"/>
      <w:lvlJc w:val="left"/>
      <w:pPr>
        <w:tabs>
          <w:tab w:val="num" w:pos="5040"/>
        </w:tabs>
        <w:ind w:left="5040" w:hanging="360"/>
      </w:pPr>
      <w:rPr>
        <w:rFonts w:ascii="Arial" w:hAnsi="Arial" w:cs="Times New Roman" w:hint="default"/>
      </w:rPr>
    </w:lvl>
    <w:lvl w:ilvl="7" w:tplc="7F72BF98">
      <w:start w:val="1"/>
      <w:numFmt w:val="bullet"/>
      <w:lvlText w:val="•"/>
      <w:lvlJc w:val="left"/>
      <w:pPr>
        <w:tabs>
          <w:tab w:val="num" w:pos="5760"/>
        </w:tabs>
        <w:ind w:left="5760" w:hanging="360"/>
      </w:pPr>
      <w:rPr>
        <w:rFonts w:ascii="Arial" w:hAnsi="Arial" w:cs="Times New Roman" w:hint="default"/>
      </w:rPr>
    </w:lvl>
    <w:lvl w:ilvl="8" w:tplc="B636EC4E">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0"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1E098B"/>
    <w:multiLevelType w:val="hybridMultilevel"/>
    <w:tmpl w:val="B1349978"/>
    <w:lvl w:ilvl="0" w:tplc="B04E2D1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4"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60720AE"/>
    <w:multiLevelType w:val="hybridMultilevel"/>
    <w:tmpl w:val="B08A47E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24207A"/>
    <w:multiLevelType w:val="hybridMultilevel"/>
    <w:tmpl w:val="BE5A2F5C"/>
    <w:lvl w:ilvl="0" w:tplc="0C0A000F">
      <w:start w:val="1"/>
      <w:numFmt w:val="decimal"/>
      <w:lvlText w:val="%1."/>
      <w:lvlJc w:val="left"/>
      <w:pPr>
        <w:ind w:left="720" w:hanging="360"/>
      </w:pPr>
      <w:rPr>
        <w:rFonts w:hint="default"/>
      </w:rPr>
    </w:lvl>
    <w:lvl w:ilvl="1" w:tplc="B04E2D1A">
      <w:numFmt w:val="bullet"/>
      <w:lvlText w:val="•"/>
      <w:lvlJc w:val="left"/>
      <w:pPr>
        <w:ind w:left="1785" w:hanging="705"/>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367214328">
    <w:abstractNumId w:val="10"/>
  </w:num>
  <w:num w:numId="2" w16cid:durableId="1806463767">
    <w:abstractNumId w:val="4"/>
  </w:num>
  <w:num w:numId="3" w16cid:durableId="1653287905">
    <w:abstractNumId w:val="12"/>
  </w:num>
  <w:num w:numId="4" w16cid:durableId="247733883">
    <w:abstractNumId w:val="20"/>
  </w:num>
  <w:num w:numId="5" w16cid:durableId="1789274033">
    <w:abstractNumId w:val="2"/>
  </w:num>
  <w:num w:numId="6" w16cid:durableId="1694187729">
    <w:abstractNumId w:val="18"/>
  </w:num>
  <w:num w:numId="7" w16cid:durableId="95683798">
    <w:abstractNumId w:val="6"/>
  </w:num>
  <w:num w:numId="8" w16cid:durableId="1114714420">
    <w:abstractNumId w:val="5"/>
  </w:num>
  <w:num w:numId="9" w16cid:durableId="1352104775">
    <w:abstractNumId w:val="9"/>
  </w:num>
  <w:num w:numId="10" w16cid:durableId="51643080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66376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3502777">
    <w:abstractNumId w:val="21"/>
  </w:num>
  <w:num w:numId="13" w16cid:durableId="1332833029">
    <w:abstractNumId w:val="3"/>
  </w:num>
  <w:num w:numId="14" w16cid:durableId="1735932730">
    <w:abstractNumId w:val="17"/>
  </w:num>
  <w:num w:numId="15" w16cid:durableId="1510825292">
    <w:abstractNumId w:val="0"/>
  </w:num>
  <w:num w:numId="16" w16cid:durableId="775365782">
    <w:abstractNumId w:val="13"/>
  </w:num>
  <w:num w:numId="17" w16cid:durableId="1305045272">
    <w:abstractNumId w:val="15"/>
  </w:num>
  <w:num w:numId="18" w16cid:durableId="290063159">
    <w:abstractNumId w:val="19"/>
  </w:num>
  <w:num w:numId="19" w16cid:durableId="1758211140">
    <w:abstractNumId w:val="11"/>
  </w:num>
  <w:num w:numId="20" w16cid:durableId="547767759">
    <w:abstractNumId w:val="1"/>
  </w:num>
  <w:num w:numId="21" w16cid:durableId="486871500">
    <w:abstractNumId w:val="8"/>
  </w:num>
  <w:num w:numId="22" w16cid:durableId="28649151">
    <w:abstractNumId w:val="7"/>
  </w:num>
  <w:num w:numId="23" w16cid:durableId="1938900721">
    <w:abstractNumId w:val="7"/>
  </w:num>
  <w:num w:numId="24" w16cid:durableId="5518939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A8"/>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0252"/>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29"/>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CF4"/>
    <w:rsid w:val="001B2FCF"/>
    <w:rsid w:val="001B3352"/>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6517"/>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2AB2"/>
    <w:rsid w:val="002F3110"/>
    <w:rsid w:val="002F3581"/>
    <w:rsid w:val="00300909"/>
    <w:rsid w:val="003018AB"/>
    <w:rsid w:val="003019F2"/>
    <w:rsid w:val="00301C9C"/>
    <w:rsid w:val="00303EBB"/>
    <w:rsid w:val="003044A7"/>
    <w:rsid w:val="00304714"/>
    <w:rsid w:val="00305943"/>
    <w:rsid w:val="00305E36"/>
    <w:rsid w:val="003103AB"/>
    <w:rsid w:val="0031139F"/>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2A90"/>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672"/>
    <w:rsid w:val="00363E4F"/>
    <w:rsid w:val="00364BA4"/>
    <w:rsid w:val="00365B0F"/>
    <w:rsid w:val="003679C9"/>
    <w:rsid w:val="0037021E"/>
    <w:rsid w:val="0037157B"/>
    <w:rsid w:val="003719B3"/>
    <w:rsid w:val="003722C2"/>
    <w:rsid w:val="003728E7"/>
    <w:rsid w:val="00374843"/>
    <w:rsid w:val="00374B36"/>
    <w:rsid w:val="003750FF"/>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4B88"/>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2640"/>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1ABC"/>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6ADA"/>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BA6"/>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2C43"/>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19"/>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7DE"/>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3756A"/>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463C"/>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AF7841"/>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25A8"/>
    <w:rsid w:val="00C23A4C"/>
    <w:rsid w:val="00C244B7"/>
    <w:rsid w:val="00C249A9"/>
    <w:rsid w:val="00C2545F"/>
    <w:rsid w:val="00C25536"/>
    <w:rsid w:val="00C27B40"/>
    <w:rsid w:val="00C27D66"/>
    <w:rsid w:val="00C34F0C"/>
    <w:rsid w:val="00C351F1"/>
    <w:rsid w:val="00C37FE7"/>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16843"/>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6E50"/>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B20"/>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0BD8"/>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6D2"/>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4756"/>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07F64"/>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37B280"/>
  <w15:chartTrackingRefBased/>
  <w15:docId w15:val="{8AB8ABD5-B555-4C5A-B705-718777AE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452640"/>
    <w:pPr>
      <w:autoSpaceDE w:val="0"/>
      <w:autoSpaceDN w:val="0"/>
      <w:spacing w:line="240" w:lineRule="auto"/>
      <w:jc w:val="left"/>
    </w:pPr>
    <w:rPr>
      <w:rFonts w:eastAsiaTheme="minorHAns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6833">
      <w:bodyDiv w:val="1"/>
      <w:marLeft w:val="0"/>
      <w:marRight w:val="0"/>
      <w:marTop w:val="0"/>
      <w:marBottom w:val="0"/>
      <w:divBdr>
        <w:top w:val="none" w:sz="0" w:space="0" w:color="auto"/>
        <w:left w:val="none" w:sz="0" w:space="0" w:color="auto"/>
        <w:bottom w:val="none" w:sz="0" w:space="0" w:color="auto"/>
        <w:right w:val="none" w:sz="0" w:space="0" w:color="auto"/>
      </w:divBdr>
    </w:div>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17121811">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853376429">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2065367128">
      <w:bodyDiv w:val="1"/>
      <w:marLeft w:val="0"/>
      <w:marRight w:val="0"/>
      <w:marTop w:val="0"/>
      <w:marBottom w:val="0"/>
      <w:divBdr>
        <w:top w:val="none" w:sz="0" w:space="0" w:color="auto"/>
        <w:left w:val="none" w:sz="0" w:space="0" w:color="auto"/>
        <w:bottom w:val="none" w:sz="0" w:space="0" w:color="auto"/>
        <w:right w:val="none" w:sz="0" w:space="0" w:color="auto"/>
      </w:divBdr>
    </w:div>
    <w:div w:id="207134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3</TotalTime>
  <Pages>7</Pages>
  <Words>1261</Words>
  <Characters>9771</Characters>
  <Application>Microsoft Office Word</Application>
  <DocSecurity>0</DocSecurity>
  <Lines>1221</Lines>
  <Paragraphs>919</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Martin Cestao, Nerea</cp:lastModifiedBy>
  <cp:revision>6</cp:revision>
  <cp:lastPrinted>2018-10-15T10:28:00Z</cp:lastPrinted>
  <dcterms:created xsi:type="dcterms:W3CDTF">2025-04-16T15:25:00Z</dcterms:created>
  <dcterms:modified xsi:type="dcterms:W3CDTF">2025-08-25T08:24:00Z</dcterms:modified>
</cp:coreProperties>
</file>